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xml:space="preserve"> (« PDLConsulting »), société de droit mauricien (Domestic Company), dont le siège social est sis 26 avenue Surcouf, Quatre Bornes, République de Maurice, immatriculée au Registrar of Companies de Maurice sous le numéro </w:t>
      </w:r>
      <w:r>
        <w:rPr>
          <w:b/>
        </w:rPr>
        <w:t>BRN C22188347</w:t>
      </w:r>
      <w:r>
        <w:t>,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Mikadb LLC</w:t>
      </w:r>
      <w:r>
        <w:t xml:space="preserve">, </w:t>
      </w:r>
      <w:r>
        <w:rPr>
          <w:i/>
        </w:rPr>
        <w:t>Limited Liability Company</w:t>
      </w:r>
      <w:r>
        <w:t xml:space="preserve"> de droit de l'État du Delaware (États-Unis d'Amérique), dont le siège social est sis 16192 Coastal Highway, Lewes, Delaware 19958, Sussex County, USA, immatriculée auprès du </w:t>
      </w:r>
      <w:r>
        <w:rPr>
          <w:i/>
        </w:rPr>
        <w:t>Delaware Division of Corporations</w:t>
      </w:r>
      <w:r>
        <w:t xml:space="preserve"> sous le </w:t>
      </w:r>
      <w:r>
        <w:rPr>
          <w:b/>
        </w:rPr>
        <w:t>Delaware State File Number 10036505</w:t>
      </w:r>
      <w:r>
        <w:t xml:space="preserve"> et identifiée auprès de l'</w:t>
      </w:r>
      <w:r>
        <w:rPr>
          <w:i/>
        </w:rPr>
        <w:t>Internal Revenue Service</w:t>
      </w:r>
      <w:r>
        <w:t xml:space="preserve"> sous l'</w:t>
      </w:r>
      <w:r>
        <w:rPr>
          <w:b/>
        </w:rPr>
        <w:t>EIN 38-4339760</w:t>
      </w:r>
      <w:r>
        <w:t>, représentée par [À COMPLÉTER : Monsieur/Madame NOM Prénom] en qualité de [À COMPLÉTER : Manager / Member / Authorized Representative] dûment habilité(e) aux fins des présentes,</w:t>
      </w:r>
    </w:p>
    <w:p/>
    <w:p>
      <w:r>
        <w:t xml:space="preserve">Ci-après dénommée « </w:t>
      </w:r>
      <w:r>
        <w:rPr>
          <w:b/>
        </w:rPr>
        <w:t>Mikadb</w:t>
      </w:r>
      <w:r>
        <w:t xml:space="preserve"> » ou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r>
        <w:t xml:space="preserve">2.3 </w:t>
      </w:r>
      <w:r>
        <w:rPr>
          <w:b/>
        </w:rPr>
        <w:t>Interdiction de rétro-ingénierie (« reverse engineering »).</w:t>
      </w:r>
      <w:r>
        <w:t xml:space="preserve"> Le Récipiendaire s'interdit formellement, pendant la durée du présent accord et pendant la durée de protection prévue à l'article 5.2, d'effectuer ou de faire effectuer, directement ou indirectement, par lui-même ou par un tiers, toute opération de :</w:t>
      </w:r>
    </w:p>
    <w:p/>
    <w:p>
      <w:pPr>
        <w:ind w:left="454"/>
      </w:pPr>
      <w:r>
        <w:rPr>
          <w:b/>
        </w:rPr>
        <w:t xml:space="preserve">a) </w:t>
      </w:r>
      <w:r>
        <w:t>Décompilation, désassemblage, ingénierie inverse, observation comportementale, rétro-conception ou analyse statique ou dynamique de tout ou partie du logiciel BoosterMail, dans une finalité autre que celle strictement nécessaire à l'exécution des Prestations confiées par PDLConsulting ;</w:t>
      </w:r>
    </w:p>
    <w:p/>
    <w:p>
      <w:pPr>
        <w:ind w:left="454"/>
      </w:pPr>
      <w:r>
        <w:rPr>
          <w:b/>
        </w:rPr>
        <w:t xml:space="preserve">b) </w:t>
      </w:r>
      <w:r>
        <w:t xml:space="preserve">Reproduction, même partielle, de la </w:t>
      </w:r>
      <w:r>
        <w:rPr>
          <w:b/>
        </w:rPr>
        <w:t>logique fonctionnelle</w:t>
      </w:r>
      <w:r>
        <w:t xml:space="preserve">, des </w:t>
      </w:r>
      <w:r>
        <w:rPr>
          <w:b/>
        </w:rPr>
        <w:t>enchaînements de traitement</w:t>
      </w:r>
      <w:r>
        <w:t xml:space="preserve">, des </w:t>
      </w:r>
      <w:r>
        <w:rPr>
          <w:b/>
        </w:rPr>
        <w:t>interfaces utilisateur</w:t>
      </w:r>
      <w:r>
        <w:t xml:space="preserve">, des </w:t>
      </w:r>
      <w:r>
        <w:rPr>
          <w:b/>
        </w:rPr>
        <w:t>structures de données</w:t>
      </w:r>
      <w:r>
        <w:t xml:space="preserve">, des </w:t>
      </w:r>
      <w:r>
        <w:rPr>
          <w:b/>
        </w:rPr>
        <w:t>prompts d'IA</w:t>
      </w:r>
      <w:r>
        <w:t xml:space="preserve">, des </w:t>
      </w:r>
      <w:r>
        <w:rPr>
          <w:b/>
        </w:rPr>
        <w:t>paramétrages</w:t>
      </w:r>
      <w:r>
        <w:t>, ou de tout autre élément constitutif du logiciel BoosterMail, à des fins de création d'un produit similaire, alternatif ou concurrent ;</w:t>
      </w:r>
    </w:p>
    <w:p/>
    <w:p>
      <w:pPr>
        <w:ind w:left="454"/>
      </w:pPr>
      <w:r>
        <w:rPr>
          <w:b/>
        </w:rPr>
        <w:t xml:space="preserve">c) </w:t>
      </w:r>
      <w:r>
        <w:t>Étude méthodique du fonctionnement du logiciel BoosterMail (« black-box analysis ») visant à reproduire ses caractéristiques sans accès direct au code source ;</w:t>
      </w:r>
    </w:p>
    <w:p/>
    <w:p>
      <w:pPr>
        <w:ind w:left="454"/>
      </w:pPr>
      <w:r>
        <w:rPr>
          <w:b/>
        </w:rPr>
        <w:t xml:space="preserve">d) </w:t>
      </w:r>
      <w:r>
        <w:t>Création, à partir de l'observation du logiciel BoosterMail (en production, en démonstration, ou dans un environnement de test), de toute documentation technique tierce, de spécifications fonctionnelles, ou de schémas d'architecture destinés à un tiers ou à un projet personnel concurrent.</w:t>
      </w:r>
    </w:p>
    <w:p/>
    <w:p>
      <w:r>
        <w:t>La présente interdiction est distincte et complémentaire des obligations de non-divulgation (article 2.1), de non-réutilisation du savoir-faire (article 2.4) et de propriété intellectuelle (article 4) ; elle vise expressément les techniques d'extraction d'informations qui ne reposeraient pas sur la divulgation directe du code, mais sur son observation extérieure.</w:t>
      </w:r>
    </w:p>
    <w:p/>
    <w:p>
      <w:r>
        <w:t>Toute violation du présent article 2.3 est qualifiée de manquement caractérisé au sens de l'article 6 du présent accord.</w:t>
      </w:r>
    </w:p>
    <w:p/>
    <w:p>
      <w:r>
        <w:t xml:space="preserve">2.4 </w:t>
      </w:r>
      <w:r>
        <w:rPr>
          <w:b/>
        </w:rPr>
        <w:t>Non-réutilisation du savoir-faire et des concepts.</w:t>
      </w:r>
      <w:r>
        <w:t xml:space="preserve"> Au-delà de la protection du code et des données, le Récipiendaire s'interdit, pendant la durée du présent accord et pendant la durée de protection prévue à l'article 5.2 :</w:t>
      </w:r>
    </w:p>
    <w:p/>
    <w:p>
      <w:pPr>
        <w:ind w:left="454"/>
      </w:pPr>
      <w:r>
        <w:rPr>
          <w:b/>
        </w:rPr>
        <w:t xml:space="preserve">a) </w:t>
      </w:r>
      <w:r>
        <w:t xml:space="preserve">De réutiliser, en totalité ou en partie, les </w:t>
      </w:r>
      <w:r>
        <w:rPr>
          <w:b/>
        </w:rPr>
        <w:t>concepts produits, l'architecture technique, les workflows fonctionnels, les choix de design d'interface (UX/UI), les modèles d'interaction utilisateur, les approches algorithmiques propres à BoosterMail</w:t>
      </w:r>
      <w:r>
        <w:t xml:space="preserve"> (notamment : pipeline de scoring rédactionnel, méthode d'analyse des profils contacts, articulation cuisinier/commis pour la classification des emails, pipeline de classement multi-tiers), pour développer ou contribuer au développement d'un produit ou service tiers ;</w:t>
      </w:r>
    </w:p>
    <w:p/>
    <w:p>
      <w:pPr>
        <w:ind w:left="454"/>
      </w:pPr>
      <w:r>
        <w:rPr>
          <w:b/>
        </w:rPr>
        <w:t xml:space="preserve">b) </w:t>
      </w:r>
      <w:r>
        <w:t>De prétendre, dans toute communication ou démarche commerciale future, à la paternité ou à la co-paternité des concepts ou méthodes propres à BoosterMail dont il aurait eu connaissance dans le cadre des échanges avec PDLConsulting.</w:t>
      </w:r>
    </w:p>
    <w:p/>
    <w:p>
      <w:r>
        <w:t>Cette obligation est distincte et complémentaire des interdictions de divulgation (article 2.1) et de rétro-ingénierie (article 2.3).</w:t>
      </w:r>
    </w:p>
    <w:p/>
    <w:p>
      <w:r>
        <w:t xml:space="preserve">2.5 </w:t>
      </w:r>
      <w:r>
        <w:rPr>
          <w:b/>
        </w:rPr>
        <w:t>Données dérivées, traces et artefacts intermédiaires.</w:t>
      </w:r>
      <w:r>
        <w:t xml:space="preserve"> Toute donnée, trace, fichier, jeu de tests, log, embedding, vecteur, feature, modèle intermédiaire, fine-tuning, dataset constitué ou cache, généré, enrichi, transformé ou dérivé par le Récipiendaire à partir d'Informations Confidentielles dans le cadre de ses échanges avec PDLConsulting (ci-après les « </w:t>
      </w:r>
      <w:r>
        <w:rPr>
          <w:b/>
        </w:rPr>
        <w:t>Données Dérivées</w:t>
      </w:r>
      <w:r>
        <w:t xml:space="preserve"> ») :</w:t>
      </w:r>
    </w:p>
    <w:p/>
    <w:p>
      <w:pPr>
        <w:ind w:left="454"/>
      </w:pPr>
      <w:r>
        <w:rPr>
          <w:b/>
        </w:rPr>
        <w:t xml:space="preserve">a) </w:t>
      </w:r>
      <w:r>
        <w:t>Sont la propriété exclusive de PDLConsulting au même titre que les Informations Confidentielles dont elles dérivent ;</w:t>
      </w:r>
    </w:p>
    <w:p>
      <w:pPr>
        <w:ind w:left="454"/>
      </w:pPr>
      <w:r>
        <w:rPr>
          <w:b/>
        </w:rPr>
        <w:t xml:space="preserve">b) </w:t>
      </w:r>
      <w:r>
        <w:t>Sont soumises aux mêmes obligations de confidentialité, de non-divulgation, de non-réutilisation, de restitution et de destruction que les Informations Confidentielles ;</w:t>
      </w:r>
    </w:p>
    <w:p>
      <w:pPr>
        <w:ind w:left="454"/>
      </w:pPr>
      <w:r>
        <w:rPr>
          <w:b/>
        </w:rPr>
        <w:t xml:space="preserve">c) </w:t>
      </w:r>
      <w:r>
        <w:t>Ne peuvent être conservées par le Récipiendaire après la fin des échanges avec PDLConsulting, dans les conditions de l'article 5.3.</w:t>
      </w:r>
    </w:p>
    <w:p/>
    <w:p>
      <w:r>
        <w:t xml:space="preserve">2.6 </w:t>
      </w:r>
      <w:r>
        <w:rPr>
          <w:b/>
        </w:rPr>
        <w:t>Interdiction d'usage des Informations Confidentielles pour l'entraînement de modèles d'intelligence artificielle.</w:t>
      </w:r>
      <w:r>
        <w:t xml:space="preserve"> Le Récipiendaire s'interdit formellement, pendant et après la fin des relations entre les Parties, et sans limitation de durée :</w:t>
      </w:r>
    </w:p>
    <w:p/>
    <w:p>
      <w:pPr>
        <w:ind w:left="454"/>
      </w:pPr>
      <w:r>
        <w:rPr>
          <w:b/>
        </w:rPr>
        <w:t xml:space="preserve">a) </w:t>
      </w:r>
      <w:r>
        <w:t xml:space="preserve">D'utiliser tout ou partie des Informations Confidentielles ou des Données Dérivées pour entraîner, ajuster (fine-tuning), évaluer ou améliorer </w:t>
      </w:r>
      <w:r>
        <w:rPr>
          <w:b/>
        </w:rPr>
        <w:t>tout modèle d'intelligence artificielle</w:t>
      </w:r>
      <w:r>
        <w:t xml:space="preserve"> (modèle de langage, modèle de classification, modèle de plongement vectoriel, modèle multimodal, etc.), que ce soit pour son compte propre, pour celui d'un tiers, ou pour le compte de toute organisation à laquelle il pourrait être lié ;</w:t>
      </w:r>
    </w:p>
    <w:p/>
    <w:p>
      <w:pPr>
        <w:ind w:left="454"/>
      </w:pPr>
      <w:r>
        <w:rPr>
          <w:b/>
        </w:rPr>
        <w:t xml:space="preserve">b) </w:t>
      </w:r>
      <w:r>
        <w:t>De soumettre tout ou partie des Informations Confidentielles ou des Données Dérivées à un service d'intelligence artificielle dont les conditions d'utilisation autorisent, par défaut ou de manière implicite, la conservation, l'analyse ou la réutilisation des contenus à des fins d'entraînement ou d'amélioration du modèle ;</w:t>
      </w:r>
    </w:p>
    <w:p/>
    <w:p>
      <w:pPr>
        <w:ind w:left="454"/>
      </w:pPr>
      <w:r>
        <w:rPr>
          <w:b/>
        </w:rPr>
        <w:t xml:space="preserve">c) </w:t>
      </w:r>
      <w:r>
        <w:t>De constituer, à partir des Informations Confidentielles ou des Données Dérivées, des jeux de données destinés à être ultérieurement utilisés à des fins d'entraînement de modèles d'IA, à quelque titre que ce soit.</w:t>
      </w:r>
    </w:p>
    <w:p/>
    <w:p>
      <w:r>
        <w:t>Toute violation du présent article 2.6 est qualifiée de manquement caractérisé au sens de l'article 6 du présent accord et expose le Récipiendaire à la clause pénale prévue à l'article 6.2, sans préjudice de la réparation du préjudice supérieur, lequel inclura notamment, le cas échéant, l'évaluation économique de la perte de spécificité concurrentielle subie par PDLConsulting.</w:t>
      </w:r>
    </w:p>
    <w:p/>
    <w:p>
      <w:r>
        <w:t xml:space="preserve">2.7 </w:t>
      </w:r>
      <w:r>
        <w:rPr>
          <w:b/>
        </w:rPr>
        <w:t>Usage des outils d'intelligence artificielle générative.</w:t>
      </w:r>
      <w:r>
        <w:t xml:space="preserve"> Compte tenu de la nature particulièrement sensible des Informations Confidentielles, le Récipiendaire reconnaît expressément que :</w:t>
      </w:r>
    </w:p>
    <w:p/>
    <w:p>
      <w:pPr>
        <w:ind w:left="454"/>
      </w:pPr>
      <w:r>
        <w:rPr>
          <w:b/>
        </w:rPr>
        <w:t xml:space="preserve">a) </w:t>
      </w:r>
      <w:r>
        <w:t xml:space="preserve">La transmission, le copier-coller, la soumission ou tout autre usage des Informations Confidentielles dans un service d'intelligence artificielle générative grand public (notamment, sans s'y limiter : ChatGPT, Claude.ai grand public, Gemini, Copilot Chat dans sa version grand public, Mistral Le Chat grand public, ou tout autre service équivalent) constitue une </w:t>
      </w:r>
      <w:r>
        <w:rPr>
          <w:b/>
        </w:rPr>
        <w:t>divulgation à un tiers</w:t>
      </w:r>
      <w:r>
        <w:t xml:space="preserve"> au sens du présent accord, susceptible d'engager sa responsabilité ;</w:t>
      </w:r>
    </w:p>
    <w:p/>
    <w:p>
      <w:pPr>
        <w:ind w:left="454"/>
      </w:pPr>
      <w:r>
        <w:rPr>
          <w:b/>
        </w:rPr>
        <w:t xml:space="preserve">b) </w:t>
      </w:r>
      <w:r>
        <w:t>En conséquence, le Récipiendaire s'interdit formellement de soumettre tout ou partie des Informations Confidentielles à de tels services, sauf si l'outil est :</w:t>
      </w:r>
    </w:p>
    <w:p>
      <w:pPr>
        <w:pStyle w:val="ListBullet"/>
      </w:pPr>
      <w:r>
        <w:t xml:space="preserve">couvert par un contrat professionnel garantissant l'absence de réutilisation des données aux fins d'entraînement ou d'amélioration du modèle (par exemple : Claude API avec opt-out, GitHub Copilot Business avec « data sharing » désactivé, ChatGPT Enterprise / Team, ou équivalent), </w:t>
      </w:r>
      <w:r>
        <w:rPr>
          <w:b/>
        </w:rPr>
        <w:t>et</w:t>
      </w:r>
    </w:p>
    <w:p>
      <w:pPr>
        <w:pStyle w:val="ListBullet"/>
      </w:pPr>
      <w:r>
        <w:t xml:space="preserve">expressément autorisé par PDLConsulting </w:t>
      </w:r>
      <w:r>
        <w:rPr>
          <w:b/>
        </w:rPr>
        <w:t>par écrit</w:t>
      </w:r>
      <w:r>
        <w:t xml:space="preserve"> ;</w:t>
      </w:r>
    </w:p>
    <w:p/>
    <w:p>
      <w:pPr>
        <w:ind w:left="454"/>
      </w:pPr>
      <w:r>
        <w:rPr>
          <w:b/>
        </w:rPr>
        <w:t xml:space="preserve">c) </w:t>
      </w:r>
      <w:r>
        <w:t>Le Récipiendaire s'engage à informer préalablement PDLConsulting de la liste exhaustive des outils d'IA qu'il envisage d'utiliser dans le cadre de ses échanges avec PDLConsulting, et à obtenir une autorisation écrite avant chaque ajout ;</w:t>
      </w:r>
    </w:p>
    <w:p/>
    <w:p>
      <w:pPr>
        <w:ind w:left="454"/>
      </w:pPr>
      <w:r>
        <w:rPr>
          <w:b/>
        </w:rPr>
        <w:t xml:space="preserve">d) </w:t>
      </w:r>
      <w:r>
        <w:t>Toute violation des dispositions du présent article 2.7 est qualifiée de manquement caractérisé au sens de l'article 6 du présent accord.</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r>
        <w:t xml:space="preserve">4.3 </w:t>
      </w:r>
      <w:r>
        <w:rPr>
          <w:b/>
        </w:rPr>
        <w:t>Productions intellectuelles antérieures à un contrat de prestation.</w:t>
      </w:r>
      <w:r>
        <w:t xml:space="preserve"> Dans l'hypothèse où le Récipiendaire produirait, dans le cadre des échanges préalables à la signature d'un éventuel contrat de prestation et avant celle-ci, toute création intellectuelle (notamment : code source, scripts, schémas, prompts, extraits de texte rédigés à la demande ou sur invitation de PDLConsulting), il en cède d'ores et déjà l'intégralité des droits patrimoniaux à PDLConsulting, à titre exclusif et définitif, conformément aux dispositions du </w:t>
      </w:r>
      <w:r>
        <w:rPr>
          <w:b/>
        </w:rPr>
        <w:t>Copyright Act 1997 de la République de Maurice</w:t>
      </w:r>
      <w:r>
        <w:t xml:space="preserve"> (en particulier ses articles relatifs aux œuvres réalisées sur commande / « commissioned works ») et de l'</w:t>
      </w:r>
      <w:r>
        <w:rPr>
          <w:b/>
        </w:rPr>
        <w:t>Industrial Property Act 2019</w:t>
      </w:r>
      <w:r>
        <w:t xml:space="preserve"> :</w:t>
      </w:r>
    </w:p>
    <w:p/>
    <w:p>
      <w:pPr>
        <w:ind w:left="454"/>
      </w:pPr>
      <w:r>
        <w:rPr>
          <w:b/>
        </w:rPr>
        <w:t xml:space="preserve">a) </w:t>
      </w:r>
      <w:r>
        <w:rPr>
          <w:b/>
        </w:rPr>
        <w:t>Droits cédés</w:t>
      </w:r>
      <w:r>
        <w:t xml:space="preserve"> : reproduction, représentation, adaptation, modification, traduction, distribution, commercialisation, sous-licence, cession à un tiers ;</w:t>
      </w:r>
    </w:p>
    <w:p>
      <w:pPr>
        <w:ind w:left="454"/>
      </w:pPr>
      <w:r>
        <w:rPr>
          <w:b/>
        </w:rPr>
        <w:t xml:space="preserve">b) </w:t>
      </w:r>
      <w:r>
        <w:rPr>
          <w:b/>
        </w:rPr>
        <w:t>Supports</w:t>
      </w:r>
      <w:r>
        <w:t xml:space="preserve"> : tous supports actuels ou futurs ;</w:t>
      </w:r>
    </w:p>
    <w:p>
      <w:pPr>
        <w:ind w:left="454"/>
      </w:pPr>
      <w:r>
        <w:rPr>
          <w:b/>
        </w:rPr>
        <w:t xml:space="preserve">c) </w:t>
      </w:r>
      <w:r>
        <w:rPr>
          <w:b/>
        </w:rPr>
        <w:t>Destinations</w:t>
      </w:r>
      <w:r>
        <w:t xml:space="preserve"> : toutes destinations à titre gratuit ou onéreux ;</w:t>
      </w:r>
    </w:p>
    <w:p>
      <w:pPr>
        <w:ind w:left="454"/>
      </w:pPr>
      <w:r>
        <w:rPr>
          <w:b/>
        </w:rPr>
        <w:t xml:space="preserve">d) </w:t>
      </w:r>
      <w:r>
        <w:rPr>
          <w:b/>
        </w:rPr>
        <w:t>Territoire</w:t>
      </w:r>
      <w:r>
        <w:t xml:space="preserve"> : monde entier ;</w:t>
      </w:r>
    </w:p>
    <w:p>
      <w:pPr>
        <w:ind w:left="454"/>
      </w:pPr>
      <w:r>
        <w:rPr>
          <w:b/>
        </w:rPr>
        <w:t xml:space="preserve">e) </w:t>
      </w:r>
      <w:r>
        <w:rPr>
          <w:b/>
        </w:rPr>
        <w:t>Durée</w:t>
      </w:r>
      <w:r>
        <w:t xml:space="preserve"> : durée légale de protection des droits considérés.</w:t>
      </w:r>
    </w:p>
    <w:p/>
    <w:p>
      <w:r>
        <w:t>La présente cession est consentie sans contrepartie financière particulière, le Récipiendaire reconnaissant qu'aucun travail rémunéré n'est attendu de lui en l'absence d'un contrat de prestation signé. Si une rémunération devait être versée par PDLConsulting au Récipiendaire au titre de productions intellectuelles antérieures au contrat, celle-ci ferait l'objet d'une convention écrite distincte.</w:t>
      </w:r>
    </w:p>
    <w:p/>
    <w:p>
      <w:r>
        <w:t>En cas de signature ultérieure d'un contrat de prestation, les stipulations de propriété intellectuelle dudit contrat prévaudront sur la présente clause pour ce qui concerne les productions postérieures à sa signature.</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w:t>
      </w:r>
    </w:p>
    <w:p/>
    <w:p>
      <w:pPr>
        <w:ind w:left="454"/>
      </w:pPr>
      <w:r>
        <w:rPr>
          <w:b/>
        </w:rPr>
        <w:t xml:space="preserve">a) </w:t>
      </w:r>
      <w:r>
        <w:t>Pendant toute la durée des échanges entre les Parties ;</w:t>
      </w:r>
    </w:p>
    <w:p>
      <w:pPr>
        <w:ind w:left="454"/>
      </w:pPr>
      <w:r>
        <w:rPr>
          <w:b/>
        </w:rPr>
        <w:t xml:space="preserve">b) </w:t>
      </w:r>
      <w:r>
        <w:t xml:space="preserve">Pendant une période de </w:t>
      </w:r>
      <w:r>
        <w:rPr>
          <w:b/>
        </w:rPr>
        <w:t>dix (10) ans</w:t>
      </w:r>
      <w:r>
        <w:t xml:space="preserve"> à compter de la fin de leurs relations, quelle qu'en soit la cause, pour les Informations Confidentielles ne constituant pas des secrets d'affaires ;</w:t>
      </w:r>
    </w:p>
    <w:p>
      <w:pPr>
        <w:ind w:left="454"/>
      </w:pPr>
      <w:r>
        <w:rPr>
          <w:b/>
        </w:rPr>
        <w:t xml:space="preserve">c) </w:t>
      </w:r>
      <w:r>
        <w:rPr>
          <w:b/>
        </w:rPr>
        <w:t>Sans limitation de durée</w:t>
      </w:r>
      <w:r>
        <w:t xml:space="preserve">, et tant que les informations conservent leur caractère secret, pour les Informations Confidentielles constituant des </w:t>
      </w:r>
      <w:r>
        <w:rPr>
          <w:b/>
        </w:rPr>
        <w:t>secrets d'affaires</w:t>
      </w:r>
      <w:r>
        <w:t xml:space="preserve"> (« trade secrets ») au sens du droit mauricien et des principes du common law applicables, à savoir toute information : (i) qui n'est pas généralement connue ni aisément accessible aux personnes du secteur traitant habituellement ce type d'informations, (ii) qui revêt une valeur commerciale du fait de son caractère secret, et (iii) qui a fait l'objet de mesures de protection raisonnables par son détenteur — définition conforme tant à l'article 39 de l'Accord ADPIC qu'à la pratique usuelle du droit commercial mauricien.</w:t>
      </w:r>
    </w:p>
    <w:p/>
    <w:p>
      <w:r>
        <w:t>Sont notamment qualifiés de secrets d'affaires, sans que cette liste soit limitative : le code source du logiciel BoosterMail, les algorithmes propriétaires, les modèles de prompts, les méthodes de scoring redactionnel, les paramétrages d'IA, les bases de connaissances internes, les listes de clients et prospects, les méthodes commerciales et opérationnelles non publiques.</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 et notamment des actions au titre de la </w:t>
      </w:r>
      <w:r>
        <w:rPr>
          <w:b/>
        </w:rPr>
        <w:t>concurrence déloyale</w:t>
      </w:r>
      <w:r>
        <w:t xml:space="preserve"> (« unfair competition », « passing off »), de la </w:t>
      </w:r>
      <w:r>
        <w:rPr>
          <w:b/>
        </w:rPr>
        <w:t>violation de secrets d'affaires</w:t>
      </w:r>
      <w:r>
        <w:t xml:space="preserve"> (« breach of confidence ») et de toute autre cause d'action reconnue par le droit mauricien et par les principes du common law applicables à Maurice.</w:t>
      </w:r>
    </w:p>
    <w:p/>
    <w:p>
      <w:r>
        <w:t xml:space="preserve">6.2 </w:t>
      </w:r>
      <w:r>
        <w:rPr>
          <w:b/>
        </w:rPr>
        <w:t>Indemnisation forfaitaire (« liquidated damages »).</w:t>
      </w:r>
      <w:r>
        <w:t xml:space="preserve"> Les Parties reconnaissent expressément que les obligations du Récipiendaire au titre du présent accord protègent des intérêts légitimes essentiels de PDLConsulting (confidentialité du code source, des données, des méthodes propriétaires), dont la violation cause un préjudice difficilement chiffrable mais substantiel. En conséquence, et conformément aux principes posés par la jurisprudence du common law en matière de « liquidated damages » (notamment l'arrêt </w:t>
      </w:r>
      <w:r>
        <w:rPr>
          <w:i/>
        </w:rPr>
        <w:t>Cavendish Square Holding BV v Talal El Makdessi</w:t>
      </w:r>
      <w:r>
        <w:t xml:space="preserve"> [2015] UKSC 67, dont la solution est suivie par les juridictions mauriciennes en matière commerciale), les Parties conviennent d'une </w:t>
      </w:r>
      <w:r>
        <w:rPr>
          <w:b/>
        </w:rPr>
        <w:t>indemnisation forfaitaire d'un montant de cinquante mille euros (50 000 €) par manquement caractérisé</w:t>
      </w:r>
      <w:r>
        <w:t xml:space="preserve"> aux obligations résultant des articles 2 (confidentialité, rétro-ingénierie, savoir-faire, données dérivées, training, IA), 4 (propriété) ou 5.3 (restitution / destruction) du présent accord.</w:t>
      </w:r>
    </w:p>
    <w:p/>
    <w:p>
      <w:r>
        <w:t xml:space="preserve">Ce montant a été déterminé par les Parties comme une </w:t>
      </w:r>
      <w:r>
        <w:rPr>
          <w:b/>
        </w:rPr>
        <w:t>estimation raisonnable et de bonne foi</w:t>
      </w:r>
      <w:r>
        <w:t xml:space="preserve"> (« genuine pre-estimate ») du préjudice minimal qu'engendrerait chaque manquement caractérisé, compte tenu :</w:t>
      </w:r>
    </w:p>
    <w:p>
      <w:pPr>
        <w:ind w:left="454"/>
      </w:pPr>
      <w:r>
        <w:rPr>
          <w:b/>
        </w:rPr>
        <w:t xml:space="preserve">a) </w:t>
      </w:r>
      <w:r>
        <w:t>De la valeur stratégique des informations protégées (code source d'un produit IA propriétaire, base de données utilisateurs, méthodes algorithmiques) ;</w:t>
      </w:r>
    </w:p>
    <w:p>
      <w:pPr>
        <w:ind w:left="454"/>
      </w:pPr>
      <w:r>
        <w:rPr>
          <w:b/>
        </w:rPr>
        <w:t xml:space="preserve">b) </w:t>
      </w:r>
      <w:r>
        <w:t>Des coûts directs de remédiation (audit, sécurisation, communication, conseils juridiques) ;</w:t>
      </w:r>
    </w:p>
    <w:p>
      <w:pPr>
        <w:ind w:left="454"/>
      </w:pPr>
      <w:r>
        <w:rPr>
          <w:b/>
        </w:rPr>
        <w:t xml:space="preserve">c) </w:t>
      </w:r>
      <w:r>
        <w:t>De la perte de spécificité concurrentielle subie par PDLConsulting du fait de la divulgation ;</w:t>
      </w:r>
    </w:p>
    <w:p>
      <w:pPr>
        <w:ind w:left="454"/>
      </w:pPr>
      <w:r>
        <w:rPr>
          <w:b/>
        </w:rPr>
        <w:t xml:space="preserve">d) </w:t>
      </w:r>
      <w:r>
        <w:t>De la difficulté pratique d'établir précisément le préjudice réel par voie d'expertise, dans un délai utile au rétablissement de la situation.</w:t>
      </w:r>
    </w:p>
    <w:p/>
    <w:p>
      <w:r>
        <w:t>La présente indemnisation forfaitaire ne fait pas obstacle à ce que PDLConsulting demande la réparation intégrale du préjudice réellement subi lorsque celui-ci excède ce montant forfaitaire, dans les conditions du droit commun mauricien.</w:t>
      </w:r>
    </w:p>
    <w:p/>
    <w:p>
      <w:r>
        <w:t>Constitue notamment un manquement caractérisé, à titre indicatif et non limitatif :</w:t>
      </w:r>
    </w:p>
    <w:p>
      <w:pPr>
        <w:ind w:left="454"/>
      </w:pPr>
      <w:r>
        <w:rPr>
          <w:b/>
        </w:rPr>
        <w:t xml:space="preserve">a) </w:t>
      </w:r>
      <w:r>
        <w:t>Toute divulgation, publication ou transmission non autorisée d'Informations Confidentielles à un tiers, quel qu'en soit le canal ;</w:t>
      </w:r>
    </w:p>
    <w:p>
      <w:pPr>
        <w:ind w:left="454"/>
      </w:pPr>
      <w:r>
        <w:rPr>
          <w:b/>
        </w:rPr>
        <w:t xml:space="preserve">b) </w:t>
      </w:r>
      <w:r>
        <w:t>Toute soumission d'Informations Confidentielles à un service d'intelligence artificielle générative grand public en violation de l'article 2.3 ;</w:t>
      </w:r>
    </w:p>
    <w:p>
      <w:pPr>
        <w:ind w:left="454"/>
      </w:pPr>
      <w:r>
        <w:rPr>
          <w:b/>
        </w:rPr>
        <w:t xml:space="preserve">c) </w:t>
      </w:r>
      <w:r>
        <w:t>Tout dépôt de titre de propriété intellectuelle sur tout ou partie des Informations Confidentielles ;</w:t>
      </w:r>
    </w:p>
    <w:p>
      <w:pPr>
        <w:ind w:left="454"/>
      </w:pPr>
      <w:r>
        <w:rPr>
          <w:b/>
        </w:rPr>
        <w:t xml:space="preserve">d) </w:t>
      </w:r>
      <w:r>
        <w:t>Toute utilisation des Informations Confidentielles pour développer un produit ou service concurrent de BoosterMail ;</w:t>
      </w:r>
    </w:p>
    <w:p>
      <w:pPr>
        <w:ind w:left="454"/>
      </w:pPr>
      <w:r>
        <w:rPr>
          <w:b/>
        </w:rPr>
        <w:t xml:space="preserve">e) </w:t>
      </w:r>
      <w:r>
        <w:t>Tout défaut de restitution ou de destruction des Informations Confidentielles dans les conditions de l'article 5.3.</w:t>
      </w:r>
    </w:p>
    <w:p/>
    <w:p>
      <w:r>
        <w:t>Les Parties conviennent expressément que ce montant correspond à une évaluation forfaitaire raisonnable du préjudice minimal subi par PDLConsulting du fait de chaque manquement caractérisé, compte tenu de la nature stratégique des Informations Confidentielles et des coûts de remédiation. Cette clause pénale ne fait pas obstacle à ce que PDLConsulting demande la réparation intégrale du préjudice réellement subi lorsque celui-ci excède ce montant forfaitaire.</w:t>
      </w:r>
    </w:p>
    <w:p/>
    <w:p>
      <w:r>
        <w:t xml:space="preserve">6.3 </w:t>
      </w:r>
      <w:r>
        <w:rPr>
          <w:b/>
        </w:rPr>
        <w:t>Mesures conservatoires (« interim and injunctive relief »).</w:t>
      </w:r>
      <w:r>
        <w:t xml:space="preserve"> Le Récipiendaire reconnaît expressément que la nature des Informations Confidentielles est telle que toute violation est susceptible de causer à PDLConsulting un </w:t>
      </w:r>
      <w:r>
        <w:rPr>
          <w:b/>
        </w:rPr>
        <w:t>préjudice irréparable</w:t>
      </w:r>
      <w:r>
        <w:t xml:space="preserve"> (« irreparable harm ») non intégralement réparable par dommages-intérêts seuls. En conséquence, PDLConsulting est fondée à solliciter, devant la Cour suprême de la République de Maurice ou toute autre juridiction compétente saisie en référé, toutes mesures conservatoires ou injonctives appropriées, notamment :</w:t>
      </w:r>
    </w:p>
    <w:p/>
    <w:p>
      <w:pPr>
        <w:ind w:left="454"/>
      </w:pPr>
      <w:r>
        <w:rPr>
          <w:b/>
        </w:rPr>
        <w:t xml:space="preserve">a) </w:t>
      </w:r>
      <w:r>
        <w:t>Une injonction de cesser toute divulgation, utilisation ou communication non autorisée des Informations Confidentielles (« injunctive relief ») ;</w:t>
      </w:r>
    </w:p>
    <w:p>
      <w:pPr>
        <w:ind w:left="454"/>
      </w:pPr>
      <w:r>
        <w:rPr>
          <w:b/>
        </w:rPr>
        <w:t xml:space="preserve">b) </w:t>
      </w:r>
      <w:r>
        <w:t>Le séquestre ou la saisie des supports contenant les Informations Confidentielles ;</w:t>
      </w:r>
    </w:p>
    <w:p>
      <w:pPr>
        <w:ind w:left="454"/>
      </w:pPr>
      <w:r>
        <w:rPr>
          <w:b/>
        </w:rPr>
        <w:t xml:space="preserve">c) </w:t>
      </w:r>
      <w:r>
        <w:t>Toute mesure de divulgation forcée d'informations relatives à l'identité des destinataires de la divulgation litigieuse (« disclosure orders »).</w:t>
      </w:r>
    </w:p>
    <w:p/>
    <w:p>
      <w:r>
        <w:t>Le Récipiendaire renonce expressément à invoquer toute exception tirée de la disponibilité d'une réparation par dommages-intérêts pour s'opposer à l'octroi de telles mesures conservatoires.</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7.3 bis </w:t>
      </w:r>
      <w:r>
        <w:rPr>
          <w:b/>
        </w:rPr>
        <w:t>Cession et changement d'entité émettrice.</w:t>
      </w:r>
      <w:r>
        <w:t xml:space="preserve"> Les Parties conviennent que :</w:t>
      </w:r>
    </w:p>
    <w:p/>
    <w:p>
      <w:pPr>
        <w:ind w:left="454"/>
      </w:pPr>
      <w:r>
        <w:rPr>
          <w:b/>
        </w:rPr>
        <w:t xml:space="preserve">a) </w:t>
      </w:r>
      <w:r>
        <w:t xml:space="preserve">PDLConsulting peut, sans accord préalable du Récipiendaire, </w:t>
      </w:r>
      <w:r>
        <w:rPr>
          <w:b/>
        </w:rPr>
        <w:t>céder ou transférer le bénéfice du présent accord</w:t>
      </w:r>
      <w:r>
        <w:t xml:space="preserve"> à toute société de son groupe, à toute nouvelle entité émettrice créée par ses actionnaires ou sous leur contrôle effectif (notamment dans le cadre d'une restructuration internationale ou d'une levée de fonds), ainsi qu'à tout tiers acquéreur de tout ou partie de son activité ;</w:t>
      </w:r>
    </w:p>
    <w:p/>
    <w:p>
      <w:pPr>
        <w:ind w:left="454"/>
      </w:pPr>
      <w:r>
        <w:rPr>
          <w:b/>
        </w:rPr>
        <w:t xml:space="preserve">b) </w:t>
      </w:r>
      <w:r>
        <w:t>À la date d'effet de la cession, l'</w:t>
      </w:r>
      <w:r>
        <w:rPr>
          <w:b/>
        </w:rPr>
        <w:t>entité cessionnaire</w:t>
      </w:r>
      <w:r>
        <w:t xml:space="preserve"> se substitue de plein droit à PDLConsulting dans l'intégralité de ses droits au titre du présent accord, y compris la propriété des Informations Confidentielles et le bénéfice des obligations de confidentialité, de non-réutilisation et de protection des secrets d'affaires souscrites par le Récipiendaire ;</w:t>
      </w:r>
    </w:p>
    <w:p/>
    <w:p>
      <w:pPr>
        <w:ind w:left="454"/>
      </w:pPr>
      <w:r>
        <w:rPr>
          <w:b/>
        </w:rPr>
        <w:t xml:space="preserve">c) </w:t>
      </w:r>
      <w:r>
        <w:t>Le Récipiendaire est informé par écrit de la cession dans un délai raisonnable et reconnaît dès à présent que ses obligations au titre du présent accord bénéficient automatiquement à l'entité cessionnaire dans les mêmes conditions ;</w:t>
      </w:r>
    </w:p>
    <w:p/>
    <w:p>
      <w:pPr>
        <w:ind w:left="454"/>
      </w:pPr>
      <w:r>
        <w:rPr>
          <w:b/>
        </w:rPr>
        <w:t xml:space="preserve">d) </w:t>
      </w:r>
      <w:r>
        <w:t>Les stipulations relatives à la loi applicable et à la juridiction (articles 7.5 et 7.6) demeurent inchangées à la suite de la cession, sauf avenant écrit signé par les Parties (l'entité cessionnaire et le Récipiendaire) postérieurement à la cession.</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Mikadb LLC : [À COMPLÉTER : email du représentant Mikadb]</w:t>
      </w:r>
    </w:p>
    <w:p/>
    <w:p>
      <w:r>
        <w:t xml:space="preserve">7.5 </w:t>
      </w:r>
      <w:r>
        <w:rPr>
          <w:b/>
        </w:rPr>
        <w:t>Loi applicable.</w:t>
      </w:r>
      <w:r>
        <w:t xml:space="preserve"> Le présent accord est régi et interprété conformément au </w:t>
      </w:r>
      <w:r>
        <w:rPr>
          <w:b/>
        </w:rPr>
        <w:t>droit de la République de Maurice</w:t>
      </w:r>
      <w:r>
        <w:t>, en particulier à ses dispositions de droit commercial et des sociétés (Companies Act 2001), de droit de la propriété intellectuelle (Copyright Act 1997, Industrial Property Act 2019), de protection des données (Data Protection Act 2017), et au Code civil mauricien pour les matières civiles non couvertes par les lois commerciales spéciales.</w:t>
      </w:r>
    </w:p>
    <w:p/>
    <w:p>
      <w:r>
        <w:t xml:space="preserve">7.6 </w:t>
      </w:r>
      <w:r>
        <w:rPr>
          <w:b/>
        </w:rPr>
        <w:t>Juridiction.</w:t>
      </w:r>
      <w:r>
        <w:t xml:space="preserve"> Tout litige relatif à la formation, l'exécution, l'interprétation ou la résiliation du présent accord,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w:t>
      </w:r>
    </w:p>
    <w:p/>
    <w:p>
      <w:pPr>
        <w:pBdr>
          <w:bottom w:val="single" w:sz="6" w:space="1" w:color="999999"/>
        </w:pBdr>
      </w:pPr>
    </w:p>
    <w:p/>
    <w:p>
      <w:pPr>
        <w:pStyle w:val="Heading1"/>
      </w:pPr>
      <w:r>
        <w:t>Signatures</w:t>
      </w:r>
    </w:p>
    <w:p/>
    <w:p>
      <w:r>
        <w:t>Fait en deux (2) exemplaires originaux, à Grand Baie (République de Maurice),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Mikadb LLC</w:t>
            </w:r>
          </w:p>
        </w:tc>
      </w:tr>
      <w:tr>
        <w:tc>
          <w:tcPr>
            <w:tcW w:type="dxa" w:w="4703"/>
          </w:tcPr>
          <w:p>
            <w:r/>
            <w:r>
              <w:t>Yvan BOSSER</w:t>
            </w:r>
          </w:p>
        </w:tc>
        <w:tc>
          <w:tcPr>
            <w:tcW w:type="dxa" w:w="4703"/>
          </w:tcPr>
          <w:p>
            <w:r/>
            <w:r>
              <w:t>[À COMPLÉTER : NOM Prénom]</w:t>
            </w:r>
          </w:p>
        </w:tc>
      </w:tr>
      <w:tr>
        <w:tc>
          <w:tcPr>
            <w:tcW w:type="dxa" w:w="4703"/>
          </w:tcPr>
          <w:p>
            <w:r/>
            <w:r>
              <w:t>Directeur</w:t>
            </w:r>
          </w:p>
        </w:tc>
        <w:tc>
          <w:tcPr>
            <w:tcW w:type="dxa" w:w="4703"/>
          </w:tcPr>
          <w:p>
            <w:r/>
            <w:r>
              <w:t>[À COMPLÉTER : Manager / Member]</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