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Accord de Confidentialité Bilatéral</w:t>
      </w:r>
    </w:p>
    <w:p>
      <w:pPr>
        <w:pStyle w:val="Heading1"/>
      </w:pPr>
      <w:r>
        <w:t>(Non-Disclosure Agreement)</w:t>
      </w:r>
    </w:p>
    <w:p/>
    <w:p>
      <w:pPr>
        <w:ind w:left="340"/>
      </w:pPr>
      <w:r>
        <w:rPr>
          <w:i/>
          <w:color w:val="595959"/>
        </w:rPr>
        <w:t xml:space="preserve">« </w:t>
      </w:r>
      <w:r>
        <w:rPr>
          <w:i/>
          <w:color w:val="595959"/>
        </w:rPr>
        <w:t>[NOTE INTERNE : ce document est à signer AVANT tout partage de code, specs, ou accès aux systèmes. Il complète et précède le contrat de prestation.]</w:t>
      </w:r>
      <w:r>
        <w:rPr>
          <w:i/>
        </w:rPr>
        <w:t xml:space="preserve"> »</w:t>
      </w:r>
    </w:p>
    <w:p/>
    <w:p>
      <w:pPr>
        <w:pBdr>
          <w:bottom w:val="single" w:sz="6" w:space="1" w:color="999999"/>
        </w:pBdr>
      </w:pPr>
    </w:p>
    <w:p/>
    <w:p>
      <w:r>
        <w:rPr>
          <w:b/>
        </w:rPr>
        <w:t>Entre les soussignés :</w:t>
      </w:r>
    </w:p>
    <w:p/>
    <w:p>
      <w:r>
        <w:rPr>
          <w:b/>
        </w:rPr>
        <w:t>La société Pied dans l'eau Consulting Ltd</w:t>
      </w:r>
      <w:r>
        <w:t xml:space="preserve"> (« PDLConsulting »), société de droit mauricien (Domestic Company), dont le siège social est sis 26 avenue Surcouf, Quatre Bornes, République de Maurice, immatriculée au Registrar of Companies de Maurice sous le numéro </w:t>
      </w:r>
      <w:r>
        <w:rPr>
          <w:b/>
        </w:rPr>
        <w:t>BRN C22188347</w:t>
      </w:r>
      <w:r>
        <w:t>, représentée par Monsieur Yvan BOSSER en qualité de Directeur dûment habilité aux fins des présentes,</w:t>
      </w:r>
    </w:p>
    <w:p/>
    <w:p>
      <w:r>
        <w:t xml:space="preserve">Ci-après dénommée « </w:t>
      </w:r>
      <w:r>
        <w:rPr>
          <w:b/>
        </w:rPr>
        <w:t>PDLConsulting</w:t>
      </w:r>
      <w:r>
        <w:t xml:space="preserve"> » ou la « </w:t>
      </w:r>
      <w:r>
        <w:rPr>
          <w:b/>
        </w:rPr>
        <w:t>Société</w:t>
      </w:r>
      <w:r>
        <w:t xml:space="preserve"> »,</w:t>
      </w:r>
    </w:p>
    <w:p/>
    <w:p>
      <w:r>
        <w:rPr>
          <w:b/>
        </w:rPr>
        <w:t>D'une part,</w:t>
      </w:r>
    </w:p>
    <w:p/>
    <w:p>
      <w:r>
        <w:rPr>
          <w:b/>
        </w:rPr>
        <w:t>Et :</w:t>
      </w:r>
    </w:p>
    <w:p/>
    <w:p>
      <w:r>
        <w:rPr>
          <w:b/>
        </w:rPr>
        <w:t>Mikadb LLC</w:t>
      </w:r>
      <w:r>
        <w:t xml:space="preserve">, </w:t>
      </w:r>
      <w:r>
        <w:rPr>
          <w:i/>
        </w:rPr>
        <w:t>Limited Liability Company</w:t>
      </w:r>
      <w:r>
        <w:t xml:space="preserve"> de droit de l'État du Delaware (États-Unis d'Amérique), dont le siège social est sis 16192 Coastal Highway, Lewes, Delaware 19958, Sussex County, USA, immatriculée auprès du </w:t>
      </w:r>
      <w:r>
        <w:rPr>
          <w:i/>
        </w:rPr>
        <w:t>Delaware Division of Corporations</w:t>
      </w:r>
      <w:r>
        <w:t xml:space="preserve"> sous le </w:t>
      </w:r>
      <w:r>
        <w:rPr>
          <w:b/>
        </w:rPr>
        <w:t>Delaware State File Number 10036505</w:t>
      </w:r>
      <w:r>
        <w:t xml:space="preserve"> et identifiée auprès de l'</w:t>
      </w:r>
      <w:r>
        <w:rPr>
          <w:i/>
        </w:rPr>
        <w:t>Internal Revenue Service</w:t>
      </w:r>
      <w:r>
        <w:t xml:space="preserve"> sous l'</w:t>
      </w:r>
      <w:r>
        <w:rPr>
          <w:b/>
        </w:rPr>
        <w:t>EIN 38-4339760</w:t>
      </w:r>
      <w:r>
        <w:t xml:space="preserve">, représentée par Monsieur </w:t>
      </w:r>
      <w:r>
        <w:rPr>
          <w:b/>
        </w:rPr>
        <w:t>Michael de Brauwer</w:t>
      </w:r>
      <w:r>
        <w:t xml:space="preserve"> en qualité de </w:t>
      </w:r>
      <w:r>
        <w:rPr>
          <w:b/>
        </w:rPr>
        <w:t>Manager</w:t>
      </w:r>
      <w:r>
        <w:t xml:space="preserve"> dûment habilité aux fins des présentes,</w:t>
      </w:r>
    </w:p>
    <w:p/>
    <w:p>
      <w:r>
        <w:t xml:space="preserve">Ci-après dénommée « </w:t>
      </w:r>
      <w:r>
        <w:rPr>
          <w:b/>
        </w:rPr>
        <w:t>Mikadb</w:t>
      </w:r>
      <w:r>
        <w:t xml:space="preserve"> » ou le « </w:t>
      </w:r>
      <w:r>
        <w:rPr>
          <w:b/>
        </w:rPr>
        <w:t>Récipiendaire</w:t>
      </w:r>
      <w:r>
        <w:t xml:space="preserve"> » ou le « </w:t>
      </w:r>
      <w:r>
        <w:rPr>
          <w:b/>
        </w:rPr>
        <w:t>Prestataire</w:t>
      </w:r>
      <w:r>
        <w:t xml:space="preserve"> »,</w:t>
      </w:r>
    </w:p>
    <w:p/>
    <w:p>
      <w:r>
        <w:rPr>
          <w:b/>
        </w:rPr>
        <w:t>D'autre part,</w:t>
      </w:r>
    </w:p>
    <w:p/>
    <w:p>
      <w:r>
        <w:t xml:space="preserve">Ci-après désignés individuellement la « </w:t>
      </w:r>
      <w:r>
        <w:rPr>
          <w:b/>
        </w:rPr>
        <w:t>Partie</w:t>
      </w:r>
      <w:r>
        <w:t xml:space="preserve"> » et collectivement les « </w:t>
      </w:r>
      <w:r>
        <w:rPr>
          <w:b/>
        </w:rPr>
        <w:t>Parties</w:t>
      </w:r>
      <w:r>
        <w:t xml:space="preserve"> ».</w:t>
      </w:r>
    </w:p>
    <w:p/>
    <w:p>
      <w:pPr>
        <w:pBdr>
          <w:bottom w:val="single" w:sz="6" w:space="1" w:color="999999"/>
        </w:pBdr>
      </w:pPr>
    </w:p>
    <w:p/>
    <w:p>
      <w:pPr>
        <w:pStyle w:val="Heading1"/>
      </w:pPr>
      <w:r>
        <w:t>Préambule</w:t>
      </w:r>
    </w:p>
    <w:p/>
    <w:p>
      <w:r>
        <w:t xml:space="preserve">PDLConsulting développe et exploite un produit logiciel d'intelligence artificielle appliqué à la gestion d'emails professionnels, dénommé « </w:t>
      </w:r>
      <w:r>
        <w:rPr>
          <w:b/>
        </w:rPr>
        <w:t>BoosterMail</w:t>
      </w:r>
      <w:r>
        <w:t xml:space="preserve"> », distribué notamment sous forme de service en ligne (SaaS) à destination de professionnels.</w:t>
      </w:r>
    </w:p>
    <w:p/>
    <w:p>
      <w:r>
        <w:t>Dans la perspective d'une collaboration éventuelle ou effective avec le Récipiendaire, les Parties seront amenées à échanger des informations de nature confidentielle, dont la divulgation ou l'utilisation non autorisée porterait un préjudice grave à PDLConsulting.</w:t>
      </w:r>
    </w:p>
    <w:p/>
    <w:p>
      <w:r>
        <w:t>Le présent accord a pour objet de définir les conditions dans lesquelles ces informations confidentielles seront échangées et protégées.</w:t>
      </w:r>
    </w:p>
    <w:p/>
    <w:p>
      <w:r>
        <w:t>Il est convenu et arrêté ce qui suit.</w:t>
      </w:r>
    </w:p>
    <w:p/>
    <w:p>
      <w:pPr>
        <w:pBdr>
          <w:bottom w:val="single" w:sz="6" w:space="1" w:color="999999"/>
        </w:pBdr>
      </w:pPr>
    </w:p>
    <w:p/>
    <w:p>
      <w:pPr>
        <w:pStyle w:val="Heading1"/>
      </w:pPr>
      <w:r>
        <w:t>Article 1 — Définition des Informations Confidentielles</w:t>
      </w:r>
    </w:p>
    <w:p/>
    <w:p>
      <w:r>
        <w:t xml:space="preserve">1.1 Au sens du présent accord, sont qualifiées d'« </w:t>
      </w:r>
      <w:r>
        <w:rPr>
          <w:b/>
        </w:rPr>
        <w:t>Informations Confidentielles</w:t>
      </w:r>
      <w:r>
        <w:t xml:space="preserve"> » toutes informations, sous quelque forme que ce soit (orale, écrite, numérique, graphique, audiovisuelle, tangible ou intangible), communiquées par l'une des Parties à l'autre dans le cadre ou à l'occasion de leurs échanges, en particulier mais sans limitation :</w:t>
      </w:r>
    </w:p>
    <w:p/>
    <w:p>
      <w:pPr>
        <w:ind w:left="454"/>
      </w:pPr>
      <w:r>
        <w:rPr>
          <w:b/>
        </w:rPr>
        <w:t xml:space="preserve">a) </w:t>
      </w:r>
      <w:r>
        <w:t>Le code source du logiciel BoosterMail, ses dépendances, son architecture technique et ses interfaces ;</w:t>
      </w:r>
    </w:p>
    <w:p>
      <w:pPr>
        <w:ind w:left="454"/>
      </w:pPr>
      <w:r>
        <w:rPr>
          <w:b/>
        </w:rPr>
        <w:t xml:space="preserve">b) </w:t>
      </w:r>
      <w:r>
        <w:t>Les spécifications fonctionnelles, techniques et commerciales du produit ;</w:t>
      </w:r>
    </w:p>
    <w:p>
      <w:pPr>
        <w:ind w:left="454"/>
      </w:pPr>
      <w:r>
        <w:rPr>
          <w:b/>
        </w:rPr>
        <w:t xml:space="preserve">c) </w:t>
      </w:r>
      <w:r>
        <w:t>Les algorithmes, modèles de prompts, méthodes de scoring, bases de connaissances et tout savoir-faire incorporé au produit ;</w:t>
      </w:r>
    </w:p>
    <w:p>
      <w:pPr>
        <w:ind w:left="454"/>
      </w:pPr>
      <w:r>
        <w:rPr>
          <w:b/>
        </w:rPr>
        <w:t xml:space="preserve">d) </w:t>
      </w:r>
      <w:r>
        <w:t>Les données techniques d'exploitation : adresses IP, configurations serveurs, identifiants, clés API, secrets cryptographiques ;</w:t>
      </w:r>
    </w:p>
    <w:p>
      <w:pPr>
        <w:ind w:left="454"/>
      </w:pPr>
      <w:r>
        <w:rPr>
          <w:b/>
        </w:rPr>
        <w:t xml:space="preserve">e) </w:t>
      </w:r>
      <w:r>
        <w:t>Les données commerciales : liste de clients, prospects, partenaires, tarification, marges, business plan, projections financières ;</w:t>
      </w:r>
    </w:p>
    <w:p>
      <w:pPr>
        <w:ind w:left="454"/>
      </w:pPr>
      <w:r>
        <w:rPr>
          <w:b/>
        </w:rPr>
        <w:t xml:space="preserve">f) </w:t>
      </w:r>
      <w:r>
        <w:t>Les données personnelles d'utilisateurs ou de contacts auxquelles le Récipiendaire pourrait avoir accès, étant rappelé que ces données sont en outre protégées par la réglementation applicable (notamment le Règlement (UE) 2016/679 dit « RGPD ») ;</w:t>
      </w:r>
    </w:p>
    <w:p>
      <w:pPr>
        <w:ind w:left="454"/>
      </w:pPr>
      <w:r>
        <w:rPr>
          <w:b/>
        </w:rPr>
        <w:t xml:space="preserve">g) </w:t>
      </w:r>
      <w:r>
        <w:t>Toute correspondance, document, rapport d'audit, retour d'expérience utilisateur ;</w:t>
      </w:r>
    </w:p>
    <w:p>
      <w:pPr>
        <w:ind w:left="454"/>
      </w:pPr>
      <w:r>
        <w:rPr>
          <w:b/>
        </w:rPr>
        <w:t xml:space="preserve">h) </w:t>
      </w:r>
      <w:r>
        <w:t>Les méthodes, procédures internes, conventions de développement et workflows propres à PDLConsulting ;</w:t>
      </w:r>
    </w:p>
    <w:p>
      <w:pPr>
        <w:ind w:left="454"/>
      </w:pPr>
      <w:r>
        <w:rPr>
          <w:b/>
        </w:rPr>
        <w:t xml:space="preserve">i) </w:t>
      </w:r>
      <w:r>
        <w:t>L'existence même et le contenu des discussions entre les Parties, la nature et l'étendue de leur collaboration éventuelle.</w:t>
      </w:r>
    </w:p>
    <w:p/>
    <w:p>
      <w:r>
        <w:t xml:space="preserve">1.2 La qualification d'Information Confidentielle s'applique </w:t>
      </w:r>
      <w:r>
        <w:rPr>
          <w:b/>
        </w:rPr>
        <w:t>indépendamment de l'apposition d'un marquage explicite</w:t>
      </w:r>
      <w:r>
        <w:t xml:space="preserve"> (« confidentiel », « propriétaire », etc.). Toute information dont la nature confidentielle peut raisonnablement être déduite des circonstances de sa divulgation est réputée confidentielle.</w:t>
      </w:r>
    </w:p>
    <w:p/>
    <w:p>
      <w:r>
        <w:t xml:space="preserve">1.3 </w:t>
      </w:r>
      <w:r>
        <w:rPr>
          <w:b/>
        </w:rPr>
        <w:t>Exclusions.</w:t>
      </w:r>
      <w:r>
        <w:t xml:space="preserve"> Ne sont pas considérées comme Informations Confidentielles les informations dont le Récipiendaire peut prouver, par des éléments antérieurs et écrits :</w:t>
      </w:r>
    </w:p>
    <w:p/>
    <w:p>
      <w:pPr>
        <w:ind w:left="454"/>
      </w:pPr>
      <w:r>
        <w:rPr>
          <w:b/>
        </w:rPr>
        <w:t xml:space="preserve">a) </w:t>
      </w:r>
      <w:r>
        <w:t>Qu'elles étaient en sa possession légitime avant leur communication par PDLConsulting ;</w:t>
      </w:r>
    </w:p>
    <w:p>
      <w:pPr>
        <w:ind w:left="454"/>
      </w:pPr>
      <w:r>
        <w:rPr>
          <w:b/>
        </w:rPr>
        <w:t xml:space="preserve">b) </w:t>
      </w:r>
      <w:r>
        <w:t>Qu'elles sont ou deviennent publiques sans manquement du Récipiendaire à ses obligations ;</w:t>
      </w:r>
    </w:p>
    <w:p>
      <w:pPr>
        <w:ind w:left="454"/>
      </w:pPr>
      <w:r>
        <w:rPr>
          <w:b/>
        </w:rPr>
        <w:t xml:space="preserve">c) </w:t>
      </w:r>
      <w:r>
        <w:t>Qu'elles ont été reçues légitimement d'un tiers non tenu à une obligation de confidentialité ;</w:t>
      </w:r>
    </w:p>
    <w:p>
      <w:pPr>
        <w:ind w:left="454"/>
      </w:pPr>
      <w:r>
        <w:rPr>
          <w:b/>
        </w:rPr>
        <w:t xml:space="preserve">d) </w:t>
      </w:r>
      <w:r>
        <w:t>Qu'elles ont été développées de manière indépendante par le Récipiendaire sans utilisation des Informations Confidentielles.</w:t>
      </w:r>
    </w:p>
    <w:p/>
    <w:p>
      <w:pPr>
        <w:pBdr>
          <w:bottom w:val="single" w:sz="6" w:space="1" w:color="999999"/>
        </w:pBdr>
      </w:pPr>
    </w:p>
    <w:p/>
    <w:p>
      <w:pPr>
        <w:pStyle w:val="Heading1"/>
      </w:pPr>
      <w:r>
        <w:t>Article 2 — Obligations de confidentialité</w:t>
      </w:r>
    </w:p>
    <w:p/>
    <w:p>
      <w:r>
        <w:t>2.1 Le Récipiendaire s'engage, pour lui-même et pour toute personne sous sa responsabilité (collaborateurs, sous-traitants éventuels) :</w:t>
      </w:r>
    </w:p>
    <w:p/>
    <w:p>
      <w:pPr>
        <w:ind w:left="454"/>
      </w:pPr>
      <w:r>
        <w:rPr>
          <w:b/>
        </w:rPr>
        <w:t xml:space="preserve">a) </w:t>
      </w:r>
      <w:r>
        <w:t>À considérer les Informations Confidentielles comme strictement confidentielles, à les traiter avec au moins le même degré de soin que ses propres informations confidentielles, et en tout état de cause avec un soin raisonnable ne pouvant être inférieur au standard d'un professionnel diligent du secteur informatique ;</w:t>
      </w:r>
    </w:p>
    <w:p/>
    <w:p>
      <w:pPr>
        <w:ind w:left="454"/>
      </w:pPr>
      <w:r>
        <w:rPr>
          <w:b/>
        </w:rPr>
        <w:t xml:space="preserve">b) </w:t>
      </w:r>
      <w:r>
        <w:t>À n'utiliser les Informations Confidentielles que dans le seul but de mener à bien la collaboration envisagée ou en cours avec PDLConsulting, à l'exclusion de tout autre usage, notamment personnel, commercial, ou au profit de tiers ;</w:t>
      </w:r>
    </w:p>
    <w:p/>
    <w:p>
      <w:pPr>
        <w:ind w:left="454"/>
      </w:pPr>
      <w:r>
        <w:rPr>
          <w:b/>
        </w:rPr>
        <w:t xml:space="preserve">c) </w:t>
      </w:r>
      <w:r>
        <w:t>À ne divulguer les Informations Confidentielles à aucune personne autre que celles strictement nécessaires à la réalisation de la mission, et uniquement après que ces personnes auront elles-mêmes contracté un engagement écrit de confidentialité au moins équivalent au présent accord ;</w:t>
      </w:r>
    </w:p>
    <w:p/>
    <w:p>
      <w:pPr>
        <w:ind w:left="454"/>
      </w:pPr>
      <w:r>
        <w:rPr>
          <w:b/>
        </w:rPr>
        <w:t xml:space="preserve">d) </w:t>
      </w:r>
      <w:r>
        <w:t>À mettre en œuvre des mesures techniques et organisationnelles raisonnables de sécurité (chiffrement des supports, mots de passe forts, authentification multi-facteurs, restrictions d'accès) afin de prévenir toute divulgation, perte ou altération des Informations Confidentielles ;</w:t>
      </w:r>
    </w:p>
    <w:p/>
    <w:p>
      <w:pPr>
        <w:ind w:left="454"/>
      </w:pPr>
      <w:r>
        <w:rPr>
          <w:b/>
        </w:rPr>
        <w:t xml:space="preserve">e) </w:t>
      </w:r>
      <w:r>
        <w:t>À ne pas reproduire, copier, dupliquer, transmettre, ni stocker les Informations Confidentielles sur des services tiers (cloud personnel, plateformes publiques, services d'IA générative grand public, etc.) sans autorisation écrite préalable de PDLConsulting ;</w:t>
      </w:r>
    </w:p>
    <w:p/>
    <w:p>
      <w:pPr>
        <w:ind w:left="454"/>
      </w:pPr>
      <w:r>
        <w:rPr>
          <w:b/>
        </w:rPr>
        <w:t xml:space="preserve">f) </w:t>
      </w:r>
      <w:r>
        <w:t xml:space="preserve">À informer PDLConsulting </w:t>
      </w:r>
      <w:r>
        <w:rPr>
          <w:b/>
        </w:rPr>
        <w:t>dans les vingt-quatre (24) heures</w:t>
      </w:r>
      <w:r>
        <w:t xml:space="preserve"> de tout incident de sécurité, perte, vol, divulgation ou tentative de divulgation non autorisée affectant les Informations Confidentielles, en précisant la nature, l'étendue et les mesures correctives envisagées.</w:t>
      </w:r>
    </w:p>
    <w:p/>
    <w:p>
      <w:r>
        <w:t>2.2 Le Récipiendaire s'interdit en particulier :</w:t>
      </w:r>
    </w:p>
    <w:p/>
    <w:p>
      <w:pPr>
        <w:ind w:left="454"/>
      </w:pPr>
      <w:r>
        <w:rPr>
          <w:b/>
        </w:rPr>
        <w:t xml:space="preserve">a) </w:t>
      </w:r>
      <w:r>
        <w:t>De déposer ou faire déposer tout titre de propriété intellectuelle (brevet, marque, dessin, modèle, droit d'auteur) couvrant tout ou partie des Informations Confidentielles ;</w:t>
      </w:r>
    </w:p>
    <w:p>
      <w:pPr>
        <w:ind w:left="454"/>
      </w:pPr>
      <w:r>
        <w:rPr>
          <w:b/>
        </w:rPr>
        <w:t xml:space="preserve">b) </w:t>
      </w:r>
      <w:r>
        <w:t>D'utiliser les Informations Confidentielles pour développer, directement ou indirectement, un produit ou service concurrent de BoosterMail ;</w:t>
      </w:r>
    </w:p>
    <w:p>
      <w:pPr>
        <w:ind w:left="454"/>
      </w:pPr>
      <w:r>
        <w:rPr>
          <w:b/>
        </w:rPr>
        <w:t xml:space="preserve">c) </w:t>
      </w:r>
      <w:r>
        <w:t>De divulguer le contenu du présent accord, sauf à ses conseils tenus au secret professionnel et dans la stricte mesure nécessaire à leur mission.</w:t>
      </w:r>
    </w:p>
    <w:p/>
    <w:p>
      <w:r>
        <w:t xml:space="preserve">2.3 </w:t>
      </w:r>
      <w:r>
        <w:rPr>
          <w:b/>
        </w:rPr>
        <w:t>Interdiction de rétro-ingénierie (« reverse engineering »).</w:t>
      </w:r>
      <w:r>
        <w:t xml:space="preserve"> Le Récipiendaire s'interdit formellement, pendant la durée du présent accord et pendant la durée de protection prévue à l'article 5.2, d'effectuer ou de faire effectuer, directement ou indirectement, par lui-même ou par un tiers, toute opération de :</w:t>
      </w:r>
    </w:p>
    <w:p/>
    <w:p>
      <w:pPr>
        <w:ind w:left="454"/>
      </w:pPr>
      <w:r>
        <w:rPr>
          <w:b/>
        </w:rPr>
        <w:t xml:space="preserve">a) </w:t>
      </w:r>
      <w:r>
        <w:t>Décompilation, désassemblage, ingénierie inverse, observation comportementale, rétro-conception ou analyse statique ou dynamique de tout ou partie du logiciel BoosterMail, dans une finalité autre que celle strictement nécessaire à l'exécution des Prestations confiées par PDLConsulting ;</w:t>
      </w:r>
    </w:p>
    <w:p/>
    <w:p>
      <w:pPr>
        <w:ind w:left="454"/>
      </w:pPr>
      <w:r>
        <w:rPr>
          <w:b/>
        </w:rPr>
        <w:t xml:space="preserve">b) </w:t>
      </w:r>
      <w:r>
        <w:t xml:space="preserve">Reproduction, même partielle, de la </w:t>
      </w:r>
      <w:r>
        <w:rPr>
          <w:b/>
        </w:rPr>
        <w:t>logique fonctionnelle</w:t>
      </w:r>
      <w:r>
        <w:t xml:space="preserve">, des </w:t>
      </w:r>
      <w:r>
        <w:rPr>
          <w:b/>
        </w:rPr>
        <w:t>enchaînements de traitement</w:t>
      </w:r>
      <w:r>
        <w:t xml:space="preserve">, des </w:t>
      </w:r>
      <w:r>
        <w:rPr>
          <w:b/>
        </w:rPr>
        <w:t>interfaces utilisateur</w:t>
      </w:r>
      <w:r>
        <w:t xml:space="preserve">, des </w:t>
      </w:r>
      <w:r>
        <w:rPr>
          <w:b/>
        </w:rPr>
        <w:t>structures de données</w:t>
      </w:r>
      <w:r>
        <w:t xml:space="preserve">, des </w:t>
      </w:r>
      <w:r>
        <w:rPr>
          <w:b/>
        </w:rPr>
        <w:t>prompts d'IA</w:t>
      </w:r>
      <w:r>
        <w:t xml:space="preserve">, des </w:t>
      </w:r>
      <w:r>
        <w:rPr>
          <w:b/>
        </w:rPr>
        <w:t>paramétrages</w:t>
      </w:r>
      <w:r>
        <w:t>, ou de tout autre élément constitutif du logiciel BoosterMail, à des fins de création d'un produit similaire, alternatif ou concurrent ;</w:t>
      </w:r>
    </w:p>
    <w:p/>
    <w:p>
      <w:pPr>
        <w:ind w:left="454"/>
      </w:pPr>
      <w:r>
        <w:rPr>
          <w:b/>
        </w:rPr>
        <w:t xml:space="preserve">c) </w:t>
      </w:r>
      <w:r>
        <w:t>Étude méthodique du fonctionnement du logiciel BoosterMail (« black-box analysis ») visant à reproduire ses caractéristiques sans accès direct au code source ;</w:t>
      </w:r>
    </w:p>
    <w:p/>
    <w:p>
      <w:pPr>
        <w:ind w:left="454"/>
      </w:pPr>
      <w:r>
        <w:rPr>
          <w:b/>
        </w:rPr>
        <w:t xml:space="preserve">d) </w:t>
      </w:r>
      <w:r>
        <w:t>Création, à partir de l'observation du logiciel BoosterMail (en production, en démonstration, ou dans un environnement de test), de toute documentation technique tierce, de spécifications fonctionnelles, ou de schémas d'architecture destinés à un tiers ou à un projet personnel concurrent.</w:t>
      </w:r>
    </w:p>
    <w:p/>
    <w:p>
      <w:r>
        <w:t>La présente interdiction est distincte et complémentaire des obligations de non-divulgation (article 2.1), de non-réutilisation du savoir-faire (article 2.4) et de propriété intellectuelle (article 4) ; elle vise expressément les techniques d'extraction d'informations qui ne reposeraient pas sur la divulgation directe du code, mais sur son observation extérieure.</w:t>
      </w:r>
    </w:p>
    <w:p/>
    <w:p>
      <w:r>
        <w:t>Toute violation du présent article 2.3 est qualifiée de manquement caractérisé au sens de l'article 6 du présent accord.</w:t>
      </w:r>
    </w:p>
    <w:p/>
    <w:p>
      <w:r>
        <w:t xml:space="preserve">2.4 </w:t>
      </w:r>
      <w:r>
        <w:rPr>
          <w:b/>
        </w:rPr>
        <w:t>Non-réutilisation du savoir-faire et des concepts.</w:t>
      </w:r>
      <w:r>
        <w:t xml:space="preserve"> Au-delà de la protection du code et des données, le Récipiendaire s'interdit, pendant la durée du présent accord et pendant la durée de protection prévue à l'article 5.2 :</w:t>
      </w:r>
    </w:p>
    <w:p/>
    <w:p>
      <w:pPr>
        <w:ind w:left="454"/>
      </w:pPr>
      <w:r>
        <w:rPr>
          <w:b/>
        </w:rPr>
        <w:t xml:space="preserve">a) </w:t>
      </w:r>
      <w:r>
        <w:t xml:space="preserve">De réutiliser, en totalité ou en partie, les </w:t>
      </w:r>
      <w:r>
        <w:rPr>
          <w:b/>
        </w:rPr>
        <w:t>concepts produits, l'architecture technique, les workflows fonctionnels, les choix de design d'interface (UX/UI), les modèles d'interaction utilisateur, les approches algorithmiques propres à BoosterMail</w:t>
      </w:r>
      <w:r>
        <w:t xml:space="preserve"> (notamment : pipeline de scoring rédactionnel, méthode d'analyse des profils contacts, articulation cuisinier/commis pour la classification des emails, pipeline de classement multi-tiers), pour développer ou contribuer au développement d'un produit ou service tiers ;</w:t>
      </w:r>
    </w:p>
    <w:p/>
    <w:p>
      <w:pPr>
        <w:ind w:left="454"/>
      </w:pPr>
      <w:r>
        <w:rPr>
          <w:b/>
        </w:rPr>
        <w:t xml:space="preserve">b) </w:t>
      </w:r>
      <w:r>
        <w:t>De prétendre, dans toute communication ou démarche commerciale future, à la paternité ou à la co-paternité des concepts ou méthodes propres à BoosterMail dont il aurait eu connaissance dans le cadre des échanges avec PDLConsulting.</w:t>
      </w:r>
    </w:p>
    <w:p/>
    <w:p>
      <w:r>
        <w:t>Cette obligation est distincte et complémentaire des interdictions de divulgation (article 2.1) et de rétro-ingénierie (article 2.3).</w:t>
      </w:r>
    </w:p>
    <w:p/>
    <w:p>
      <w:r>
        <w:t xml:space="preserve">2.5 </w:t>
      </w:r>
      <w:r>
        <w:rPr>
          <w:b/>
        </w:rPr>
        <w:t>Données dérivées, traces et artefacts intermédiaires.</w:t>
      </w:r>
      <w:r>
        <w:t xml:space="preserve"> Toute donnée, trace, fichier, jeu de tests, log, embedding, vecteur, feature, modèle intermédiaire, fine-tuning, dataset constitué ou cache, généré, enrichi, transformé ou dérivé par le Récipiendaire à partir d'Informations Confidentielles dans le cadre de ses échanges avec PDLConsulting (ci-après les « </w:t>
      </w:r>
      <w:r>
        <w:rPr>
          <w:b/>
        </w:rPr>
        <w:t>Données Dérivées</w:t>
      </w:r>
      <w:r>
        <w:t xml:space="preserve"> ») :</w:t>
      </w:r>
    </w:p>
    <w:p/>
    <w:p>
      <w:pPr>
        <w:ind w:left="454"/>
      </w:pPr>
      <w:r>
        <w:rPr>
          <w:b/>
        </w:rPr>
        <w:t xml:space="preserve">a) </w:t>
      </w:r>
      <w:r>
        <w:t>Sont la propriété exclusive de PDLConsulting au même titre que les Informations Confidentielles dont elles dérivent ;</w:t>
      </w:r>
    </w:p>
    <w:p>
      <w:pPr>
        <w:ind w:left="454"/>
      </w:pPr>
      <w:r>
        <w:rPr>
          <w:b/>
        </w:rPr>
        <w:t xml:space="preserve">b) </w:t>
      </w:r>
      <w:r>
        <w:t>Sont soumises aux mêmes obligations de confidentialité, de non-divulgation, de non-réutilisation, de restitution et de destruction que les Informations Confidentielles ;</w:t>
      </w:r>
    </w:p>
    <w:p>
      <w:pPr>
        <w:ind w:left="454"/>
      </w:pPr>
      <w:r>
        <w:rPr>
          <w:b/>
        </w:rPr>
        <w:t xml:space="preserve">c) </w:t>
      </w:r>
      <w:r>
        <w:t>Ne peuvent être conservées par le Récipiendaire après la fin des échanges avec PDLConsulting, dans les conditions de l'article 5.3.</w:t>
      </w:r>
    </w:p>
    <w:p/>
    <w:p>
      <w:r>
        <w:t xml:space="preserve">2.6 </w:t>
      </w:r>
      <w:r>
        <w:rPr>
          <w:b/>
        </w:rPr>
        <w:t>Interdiction d'usage des Informations Confidentielles pour l'entraînement de modèles d'intelligence artificielle.</w:t>
      </w:r>
      <w:r>
        <w:t xml:space="preserve"> Le Récipiendaire s'interdit formellement, pendant et après la fin des relations entre les Parties, et sans limitation de durée :</w:t>
      </w:r>
    </w:p>
    <w:p/>
    <w:p>
      <w:pPr>
        <w:ind w:left="454"/>
      </w:pPr>
      <w:r>
        <w:rPr>
          <w:b/>
        </w:rPr>
        <w:t xml:space="preserve">a) </w:t>
      </w:r>
      <w:r>
        <w:t xml:space="preserve">D'utiliser tout ou partie des Informations Confidentielles ou des Données Dérivées pour entraîner, ajuster (fine-tuning), évaluer ou améliorer </w:t>
      </w:r>
      <w:r>
        <w:rPr>
          <w:b/>
        </w:rPr>
        <w:t>tout modèle d'intelligence artificielle</w:t>
      </w:r>
      <w:r>
        <w:t xml:space="preserve"> (modèle de langage, modèle de classification, modèle de plongement vectoriel, modèle multimodal, etc.), que ce soit pour son compte propre, pour celui d'un tiers, ou pour le compte de toute organisation à laquelle il pourrait être lié ;</w:t>
      </w:r>
    </w:p>
    <w:p/>
    <w:p>
      <w:pPr>
        <w:ind w:left="454"/>
      </w:pPr>
      <w:r>
        <w:rPr>
          <w:b/>
        </w:rPr>
        <w:t xml:space="preserve">b) </w:t>
      </w:r>
      <w:r>
        <w:t>De soumettre tout ou partie des Informations Confidentielles ou des Données Dérivées à un service d'intelligence artificielle dont les conditions d'utilisation autorisent, par défaut ou de manière implicite, la conservation, l'analyse ou la réutilisation des contenus à des fins d'entraînement ou d'amélioration du modèle ;</w:t>
      </w:r>
    </w:p>
    <w:p/>
    <w:p>
      <w:pPr>
        <w:ind w:left="454"/>
      </w:pPr>
      <w:r>
        <w:rPr>
          <w:b/>
        </w:rPr>
        <w:t xml:space="preserve">c) </w:t>
      </w:r>
      <w:r>
        <w:t>De constituer, à partir des Informations Confidentielles ou des Données Dérivées, des jeux de données destinés à être ultérieurement utilisés à des fins d'entraînement de modèles d'IA, à quelque titre que ce soit.</w:t>
      </w:r>
    </w:p>
    <w:p/>
    <w:p>
      <w:r>
        <w:t>Toute violation du présent article 2.6 est qualifiée de manquement caractérisé au sens de l'article 6 du présent accord et expose le Récipiendaire à la clause pénale prévue à l'article 6.2, sans préjudice de la réparation du préjudice supérieur, lequel inclura notamment, le cas échéant, l'évaluation économique de la perte de spécificité concurrentielle subie par PDLConsulting.</w:t>
      </w:r>
    </w:p>
    <w:p/>
    <w:p>
      <w:r>
        <w:t xml:space="preserve">2.7 </w:t>
      </w:r>
      <w:r>
        <w:rPr>
          <w:b/>
        </w:rPr>
        <w:t>Usage des outils d'intelligence artificielle générative.</w:t>
      </w:r>
      <w:r>
        <w:t xml:space="preserve"> Compte tenu de la nature particulièrement sensible des Informations Confidentielles, le Récipiendaire reconnaît expressément que :</w:t>
      </w:r>
    </w:p>
    <w:p/>
    <w:p>
      <w:pPr>
        <w:ind w:left="454"/>
      </w:pPr>
      <w:r>
        <w:rPr>
          <w:b/>
        </w:rPr>
        <w:t xml:space="preserve">a) </w:t>
      </w:r>
      <w:r>
        <w:t xml:space="preserve">La transmission, le copier-coller, la soumission ou tout autre usage des Informations Confidentielles dans un service d'intelligence artificielle générative grand public (notamment, sans s'y limiter : ChatGPT, Claude.ai grand public, Gemini, Copilot Chat dans sa version grand public, Mistral Le Chat grand public, ou tout autre service équivalent) constitue une </w:t>
      </w:r>
      <w:r>
        <w:rPr>
          <w:b/>
        </w:rPr>
        <w:t>divulgation à un tiers</w:t>
      </w:r>
      <w:r>
        <w:t xml:space="preserve"> au sens du présent accord, susceptible d'engager sa responsabilité ;</w:t>
      </w:r>
    </w:p>
    <w:p/>
    <w:p>
      <w:pPr>
        <w:ind w:left="454"/>
      </w:pPr>
      <w:r>
        <w:rPr>
          <w:b/>
        </w:rPr>
        <w:t xml:space="preserve">b) </w:t>
      </w:r>
      <w:r>
        <w:t>En conséquence, le Récipiendaire s'interdit formellement de soumettre tout ou partie des Informations Confidentielles à de tels services, sauf si l'outil est :</w:t>
      </w:r>
    </w:p>
    <w:p>
      <w:pPr>
        <w:pStyle w:val="ListBullet"/>
      </w:pPr>
      <w:r>
        <w:t xml:space="preserve">couvert par un contrat professionnel garantissant l'absence de réutilisation des données aux fins d'entraînement ou d'amélioration du modèle (par exemple : Claude API avec opt-out, GitHub Copilot Business avec « data sharing » désactivé, ChatGPT Enterprise / Team, ou équivalent), </w:t>
      </w:r>
      <w:r>
        <w:rPr>
          <w:b/>
        </w:rPr>
        <w:t>et</w:t>
      </w:r>
    </w:p>
    <w:p>
      <w:pPr>
        <w:pStyle w:val="ListBullet"/>
      </w:pPr>
      <w:r>
        <w:t xml:space="preserve">expressément autorisé par PDLConsulting </w:t>
      </w:r>
      <w:r>
        <w:rPr>
          <w:b/>
        </w:rPr>
        <w:t>par écrit</w:t>
      </w:r>
      <w:r>
        <w:t xml:space="preserve"> ;</w:t>
      </w:r>
    </w:p>
    <w:p/>
    <w:p>
      <w:pPr>
        <w:ind w:left="454"/>
      </w:pPr>
      <w:r>
        <w:rPr>
          <w:b/>
        </w:rPr>
        <w:t xml:space="preserve">c) </w:t>
      </w:r>
      <w:r>
        <w:t>Le Récipiendaire s'engage à informer préalablement PDLConsulting de la liste exhaustive des outils d'IA qu'il envisage d'utiliser dans le cadre de ses échanges avec PDLConsulting, et à obtenir une autorisation écrite avant chaque ajout ;</w:t>
      </w:r>
    </w:p>
    <w:p/>
    <w:p>
      <w:pPr>
        <w:ind w:left="454"/>
      </w:pPr>
      <w:r>
        <w:rPr>
          <w:b/>
        </w:rPr>
        <w:t xml:space="preserve">d) </w:t>
      </w:r>
      <w:r>
        <w:t>Toute violation des dispositions du présent article 2.7 est qualifiée de manquement caractérisé au sens de l'article 6 du présent accord.</w:t>
      </w:r>
    </w:p>
    <w:p/>
    <w:p>
      <w:pPr>
        <w:pBdr>
          <w:bottom w:val="single" w:sz="6" w:space="1" w:color="999999"/>
        </w:pBdr>
      </w:pPr>
    </w:p>
    <w:p/>
    <w:p>
      <w:pPr>
        <w:pStyle w:val="Heading1"/>
      </w:pPr>
      <w:r>
        <w:t>Article 3 — Divulgation imposée par la loi</w:t>
      </w:r>
    </w:p>
    <w:p/>
    <w:p>
      <w:r>
        <w:t>3.1 Si le Récipiendaire est légalement contraint de divulguer tout ou partie des Informations Confidentielles (notamment en exécution d'une décision de justice, d'une réquisition d'autorité administrative compétente ou d'une obligation légale), il devra :</w:t>
      </w:r>
    </w:p>
    <w:p/>
    <w:p>
      <w:pPr>
        <w:ind w:left="454"/>
      </w:pPr>
      <w:r>
        <w:rPr>
          <w:b/>
        </w:rPr>
        <w:t xml:space="preserve">a) </w:t>
      </w:r>
      <w:r>
        <w:t xml:space="preserve">Notifier PDLConsulting </w:t>
      </w:r>
      <w:r>
        <w:rPr>
          <w:b/>
        </w:rPr>
        <w:t>sans délai</w:t>
      </w:r>
      <w:r>
        <w:t xml:space="preserve"> et préalablement à toute divulgation, sauf interdiction légale expresse ;</w:t>
      </w:r>
    </w:p>
    <w:p>
      <w:pPr>
        <w:ind w:left="454"/>
      </w:pPr>
      <w:r>
        <w:rPr>
          <w:b/>
        </w:rPr>
        <w:t xml:space="preserve">b) </w:t>
      </w:r>
      <w:r>
        <w:t>Coopérer avec PDLConsulting pour permettre à celle-ci, le cas échéant, de contester la divulgation ou de demander des mesures de protection ;</w:t>
      </w:r>
    </w:p>
    <w:p>
      <w:pPr>
        <w:ind w:left="454"/>
      </w:pPr>
      <w:r>
        <w:rPr>
          <w:b/>
        </w:rPr>
        <w:t xml:space="preserve">c) </w:t>
      </w:r>
      <w:r>
        <w:t>Limiter la divulgation au strict minimum exigé par l'obligation légale.</w:t>
      </w:r>
    </w:p>
    <w:p/>
    <w:p>
      <w:pPr>
        <w:pBdr>
          <w:bottom w:val="single" w:sz="6" w:space="1" w:color="999999"/>
        </w:pBdr>
      </w:pPr>
    </w:p>
    <w:p/>
    <w:p>
      <w:pPr>
        <w:pStyle w:val="Heading1"/>
      </w:pPr>
      <w:r>
        <w:t>Article 4 — Propriété des Informations Confidentielles</w:t>
      </w:r>
    </w:p>
    <w:p/>
    <w:p>
      <w:r>
        <w:t>4.1 Les Informations Confidentielles communiquées par PDLConsulting demeurent sa propriété exclusive. Aucune disposition du présent accord ne saurait être interprétée comme conférant au Récipiendaire un quelconque droit de propriété, licence ou autre droit d'exploitation sur les Informations Confidentielles, en dehors du strict usage autorisé pour les finalités définies à l'article 2.1 (b).</w:t>
      </w:r>
    </w:p>
    <w:p/>
    <w:p>
      <w:r>
        <w:t>4.2 Tout droit de propriété intellectuelle attaché aux Informations Confidentielles, qu'il soit existant ou futur, demeure la propriété pleine et entière de PDLConsulting.</w:t>
      </w:r>
    </w:p>
    <w:p/>
    <w:p>
      <w:r>
        <w:t xml:space="preserve">4.3 </w:t>
      </w:r>
      <w:r>
        <w:rPr>
          <w:b/>
        </w:rPr>
        <w:t>Productions intellectuelles antérieures à un contrat de prestation.</w:t>
      </w:r>
      <w:r>
        <w:t xml:space="preserve"> Dans l'hypothèse où le Récipiendaire produirait, dans le cadre des échanges préalables à la signature d'un éventuel contrat de prestation et avant celle-ci, toute création intellectuelle (notamment : code source, scripts, schémas, prompts, extraits de texte rédigés à la demande ou sur invitation de PDLConsulting), il en cède d'ores et déjà l'intégralité des droits patrimoniaux à PDLConsulting, à titre exclusif et définitif, conformément aux dispositions du </w:t>
      </w:r>
      <w:r>
        <w:rPr>
          <w:b/>
        </w:rPr>
        <w:t>Copyright Act 1997 de la République de Maurice</w:t>
      </w:r>
      <w:r>
        <w:t xml:space="preserve"> (en particulier ses articles relatifs aux œuvres réalisées sur commande / « commissioned works ») et de l'</w:t>
      </w:r>
      <w:r>
        <w:rPr>
          <w:b/>
        </w:rPr>
        <w:t>Industrial Property Act 2019</w:t>
      </w:r>
      <w:r>
        <w:t xml:space="preserve"> :</w:t>
      </w:r>
    </w:p>
    <w:p/>
    <w:p>
      <w:pPr>
        <w:ind w:left="454"/>
      </w:pPr>
      <w:r>
        <w:rPr>
          <w:b/>
        </w:rPr>
        <w:t xml:space="preserve">a) </w:t>
      </w:r>
      <w:r>
        <w:rPr>
          <w:b/>
        </w:rPr>
        <w:t>Droits cédés</w:t>
      </w:r>
      <w:r>
        <w:t xml:space="preserve"> : reproduction, représentation, adaptation, modification, traduction, distribution, commercialisation, sous-licence, cession à un tiers ;</w:t>
      </w:r>
    </w:p>
    <w:p>
      <w:pPr>
        <w:ind w:left="454"/>
      </w:pPr>
      <w:r>
        <w:rPr>
          <w:b/>
        </w:rPr>
        <w:t xml:space="preserve">b) </w:t>
      </w:r>
      <w:r>
        <w:rPr>
          <w:b/>
        </w:rPr>
        <w:t>Supports</w:t>
      </w:r>
      <w:r>
        <w:t xml:space="preserve"> : tous supports actuels ou futurs ;</w:t>
      </w:r>
    </w:p>
    <w:p>
      <w:pPr>
        <w:ind w:left="454"/>
      </w:pPr>
      <w:r>
        <w:rPr>
          <w:b/>
        </w:rPr>
        <w:t xml:space="preserve">c) </w:t>
      </w:r>
      <w:r>
        <w:rPr>
          <w:b/>
        </w:rPr>
        <w:t>Destinations</w:t>
      </w:r>
      <w:r>
        <w:t xml:space="preserve"> : toutes destinations à titre gratuit ou onéreux ;</w:t>
      </w:r>
    </w:p>
    <w:p>
      <w:pPr>
        <w:ind w:left="454"/>
      </w:pPr>
      <w:r>
        <w:rPr>
          <w:b/>
        </w:rPr>
        <w:t xml:space="preserve">d) </w:t>
      </w:r>
      <w:r>
        <w:rPr>
          <w:b/>
        </w:rPr>
        <w:t>Territoire</w:t>
      </w:r>
      <w:r>
        <w:t xml:space="preserve"> : monde entier ;</w:t>
      </w:r>
    </w:p>
    <w:p>
      <w:pPr>
        <w:ind w:left="454"/>
      </w:pPr>
      <w:r>
        <w:rPr>
          <w:b/>
        </w:rPr>
        <w:t xml:space="preserve">e) </w:t>
      </w:r>
      <w:r>
        <w:rPr>
          <w:b/>
        </w:rPr>
        <w:t>Durée</w:t>
      </w:r>
      <w:r>
        <w:t xml:space="preserve"> : durée légale de protection des droits considérés.</w:t>
      </w:r>
    </w:p>
    <w:p/>
    <w:p>
      <w:r>
        <w:t>La présente cession est consentie sans contrepartie financière particulière, le Récipiendaire reconnaissant qu'aucun travail rémunéré n'est attendu de lui en l'absence d'un contrat de prestation signé. Si une rémunération devait être versée par PDLConsulting au Récipiendaire au titre de productions intellectuelles antérieures au contrat, celle-ci ferait l'objet d'une convention écrite distincte.</w:t>
      </w:r>
    </w:p>
    <w:p/>
    <w:p>
      <w:r>
        <w:t>En cas de signature ultérieure d'un contrat de prestation, les stipulations de propriété intellectuelle dudit contrat prévaudront sur la présente clause pour ce qui concerne les productions postérieures à sa signature.</w:t>
      </w:r>
    </w:p>
    <w:p/>
    <w:p>
      <w:pPr>
        <w:pBdr>
          <w:bottom w:val="single" w:sz="6" w:space="1" w:color="999999"/>
        </w:pBdr>
      </w:pPr>
    </w:p>
    <w:p/>
    <w:p>
      <w:pPr>
        <w:pStyle w:val="Heading1"/>
      </w:pPr>
      <w:r>
        <w:t>Article 5 — Durée et restitution</w:t>
      </w:r>
    </w:p>
    <w:p/>
    <w:p>
      <w:r>
        <w:t xml:space="preserve">5.1 </w:t>
      </w:r>
      <w:r>
        <w:rPr>
          <w:b/>
        </w:rPr>
        <w:t>Entrée en vigueur.</w:t>
      </w:r>
      <w:r>
        <w:t xml:space="preserve"> Le présent accord entre en vigueur à compter de sa signature par la dernière des Parties.</w:t>
      </w:r>
    </w:p>
    <w:p/>
    <w:p>
      <w:r>
        <w:t xml:space="preserve">5.2 </w:t>
      </w:r>
      <w:r>
        <w:rPr>
          <w:b/>
        </w:rPr>
        <w:t>Durée.</w:t>
      </w:r>
      <w:r>
        <w:t xml:space="preserve"> Les obligations de confidentialité du Récipiendaire perdurent :</w:t>
      </w:r>
    </w:p>
    <w:p/>
    <w:p>
      <w:pPr>
        <w:ind w:left="454"/>
      </w:pPr>
      <w:r>
        <w:rPr>
          <w:b/>
        </w:rPr>
        <w:t xml:space="preserve">a) </w:t>
      </w:r>
      <w:r>
        <w:t>Pendant toute la durée des échanges entre les Parties ;</w:t>
      </w:r>
    </w:p>
    <w:p>
      <w:pPr>
        <w:ind w:left="454"/>
      </w:pPr>
      <w:r>
        <w:rPr>
          <w:b/>
        </w:rPr>
        <w:t xml:space="preserve">b) </w:t>
      </w:r>
      <w:r>
        <w:t xml:space="preserve">Pendant une période de </w:t>
      </w:r>
      <w:r>
        <w:rPr>
          <w:b/>
        </w:rPr>
        <w:t>dix (10) ans</w:t>
      </w:r>
      <w:r>
        <w:t xml:space="preserve"> à compter de la fin de leurs relations, quelle qu'en soit la cause, pour les Informations Confidentielles ne constituant pas des secrets d'affaires ;</w:t>
      </w:r>
    </w:p>
    <w:p>
      <w:pPr>
        <w:ind w:left="454"/>
      </w:pPr>
      <w:r>
        <w:rPr>
          <w:b/>
        </w:rPr>
        <w:t xml:space="preserve">c) </w:t>
      </w:r>
      <w:r>
        <w:rPr>
          <w:b/>
        </w:rPr>
        <w:t>Sans limitation de durée</w:t>
      </w:r>
      <w:r>
        <w:t xml:space="preserve">, et tant que les informations conservent leur caractère secret, pour les Informations Confidentielles constituant des </w:t>
      </w:r>
      <w:r>
        <w:rPr>
          <w:b/>
        </w:rPr>
        <w:t>secrets d'affaires</w:t>
      </w:r>
      <w:r>
        <w:t xml:space="preserve"> (« trade secrets ») au sens du droit mauricien et des principes du common law applicables, à savoir toute information : (i) qui n'est pas généralement connue ni aisément accessible aux personnes du secteur traitant habituellement ce type d'informations, (ii) qui revêt une valeur commerciale du fait de son caractère secret, et (iii) qui a fait l'objet de mesures de protection raisonnables par son détenteur — définition conforme tant à l'article 39 de l'Accord ADPIC qu'à la pratique usuelle du droit commercial mauricien.</w:t>
      </w:r>
    </w:p>
    <w:p/>
    <w:p>
      <w:r>
        <w:t>Sont notamment qualifiés de secrets d'affaires, sans que cette liste soit limitative : le code source du logiciel BoosterMail, les algorithmes propriétaires, les modèles de prompts, les méthodes de scoring redactionnel, les paramétrages d'IA, les bases de connaissances internes, les listes de clients et prospects, les méthodes commerciales et opérationnelles non publiques.</w:t>
      </w:r>
    </w:p>
    <w:p/>
    <w:p>
      <w:r>
        <w:t xml:space="preserve">5.3 </w:t>
      </w:r>
      <w:r>
        <w:rPr>
          <w:b/>
        </w:rPr>
        <w:t>Restitution / destruction.</w:t>
      </w:r>
      <w:r>
        <w:t xml:space="preserve"> À la première demande de PDLConsulting, et au plus tard dans les </w:t>
      </w:r>
      <w:r>
        <w:rPr>
          <w:b/>
        </w:rPr>
        <w:t>trente (30) jours</w:t>
      </w:r>
      <w:r>
        <w:t xml:space="preserve"> suivant la cessation des relations entre les Parties, le Récipiendaire devra :</w:t>
      </w:r>
    </w:p>
    <w:p/>
    <w:p>
      <w:pPr>
        <w:ind w:left="454"/>
      </w:pPr>
      <w:r>
        <w:rPr>
          <w:b/>
        </w:rPr>
        <w:t xml:space="preserve">a) </w:t>
      </w:r>
      <w:r>
        <w:t>Restituer à PDLConsulting tous les supports physiques contenant des Informations Confidentielles ;</w:t>
      </w:r>
    </w:p>
    <w:p>
      <w:pPr>
        <w:ind w:left="454"/>
      </w:pPr>
      <w:r>
        <w:rPr>
          <w:b/>
        </w:rPr>
        <w:t xml:space="preserve">b) </w:t>
      </w:r>
      <w:r>
        <w:t>Supprimer définitivement, de tous ses systèmes, équipements et sauvegardes (y compris cloud, services tiers, archives), toutes les Informations Confidentielles sous forme numérique ;</w:t>
      </w:r>
    </w:p>
    <w:p>
      <w:pPr>
        <w:ind w:left="454"/>
      </w:pPr>
      <w:r>
        <w:rPr>
          <w:b/>
        </w:rPr>
        <w:t xml:space="preserve">c) </w:t>
      </w:r>
      <w:r>
        <w:t xml:space="preserve">Adresser à PDLConsulting une </w:t>
      </w:r>
      <w:r>
        <w:rPr>
          <w:b/>
        </w:rPr>
        <w:t>attestation écrite de restitution et de destruction</w:t>
      </w:r>
      <w:r>
        <w:t xml:space="preserve"> signée, certifiant l'exécution complète des obligations susvisées.</w:t>
      </w:r>
    </w:p>
    <w:p/>
    <w:p>
      <w:r>
        <w:t>5.4 Par exception, le Récipiendaire est autorisé à conserver une copie unique et archivée des Informations Confidentielles strictement nécessaire au respect de ses obligations légales et comptables, étant précisé que cette copie demeure soumise aux obligations de confidentialité du présent accord.</w:t>
      </w:r>
    </w:p>
    <w:p/>
    <w:p>
      <w:pPr>
        <w:pBdr>
          <w:bottom w:val="single" w:sz="6" w:space="1" w:color="999999"/>
        </w:pBdr>
      </w:pPr>
    </w:p>
    <w:p/>
    <w:p>
      <w:pPr>
        <w:pStyle w:val="Heading1"/>
      </w:pPr>
      <w:r>
        <w:t>Article 6 — Sanctions</w:t>
      </w:r>
    </w:p>
    <w:p/>
    <w:p>
      <w:r>
        <w:t xml:space="preserve">6.1 </w:t>
      </w:r>
      <w:r>
        <w:rPr>
          <w:b/>
        </w:rPr>
        <w:t>Indemnisation.</w:t>
      </w:r>
      <w:r>
        <w:t xml:space="preserve"> Tout manquement aux obligations du présent accord ouvre droit pour PDLConsulting à la réparation intégrale du préjudice subi (préjudice direct, indirect, perte de chance, atteinte à l'image), sans préjudice de toute autre voie de droit, et notamment des actions au titre de la </w:t>
      </w:r>
      <w:r>
        <w:rPr>
          <w:b/>
        </w:rPr>
        <w:t>concurrence déloyale</w:t>
      </w:r>
      <w:r>
        <w:t xml:space="preserve"> (« unfair competition », « passing off »), de la </w:t>
      </w:r>
      <w:r>
        <w:rPr>
          <w:b/>
        </w:rPr>
        <w:t>violation de secrets d'affaires</w:t>
      </w:r>
      <w:r>
        <w:t xml:space="preserve"> (« breach of confidence ») et de toute autre cause d'action reconnue par le droit mauricien et par les principes du common law applicables à Maurice.</w:t>
      </w:r>
    </w:p>
    <w:p/>
    <w:p>
      <w:r>
        <w:t xml:space="preserve">6.2 </w:t>
      </w:r>
      <w:r>
        <w:rPr>
          <w:b/>
        </w:rPr>
        <w:t>Indemnisation forfaitaire (« liquidated damages »).</w:t>
      </w:r>
      <w:r>
        <w:t xml:space="preserve"> Les Parties reconnaissent expressément que les obligations du Récipiendaire au titre du présent accord protègent des intérêts légitimes essentiels de PDLConsulting (confidentialité du code source, des données, des méthodes propriétaires), dont la violation cause un préjudice difficilement chiffrable mais substantiel. En conséquence, et conformément aux principes posés par la jurisprudence du common law en matière de « liquidated damages » (notamment l'arrêt </w:t>
      </w:r>
      <w:r>
        <w:rPr>
          <w:i/>
        </w:rPr>
        <w:t>Cavendish Square Holding BV v Talal El Makdessi</w:t>
      </w:r>
      <w:r>
        <w:t xml:space="preserve"> [2015] UKSC 67, dont la solution est suivie par les juridictions mauriciennes en matière commerciale), les Parties conviennent d'une </w:t>
      </w:r>
      <w:r>
        <w:rPr>
          <w:b/>
        </w:rPr>
        <w:t>indemnisation forfaitaire d'un montant de cinquante mille euros (50 000 €) par manquement caractérisé</w:t>
      </w:r>
      <w:r>
        <w:t xml:space="preserve"> aux obligations résultant des articles 2 (confidentialité, rétro-ingénierie, savoir-faire, données dérivées, training, IA), 4 (propriété) ou 5.3 (restitution / destruction) du présent accord.</w:t>
      </w:r>
    </w:p>
    <w:p/>
    <w:p>
      <w:r>
        <w:t xml:space="preserve">Ce montant a été déterminé par les Parties comme une </w:t>
      </w:r>
      <w:r>
        <w:rPr>
          <w:b/>
        </w:rPr>
        <w:t>estimation raisonnable et de bonne foi</w:t>
      </w:r>
      <w:r>
        <w:t xml:space="preserve"> (« genuine pre-estimate ») du préjudice minimal qu'engendrerait chaque manquement caractérisé, compte tenu :</w:t>
      </w:r>
    </w:p>
    <w:p>
      <w:pPr>
        <w:ind w:left="454"/>
      </w:pPr>
      <w:r>
        <w:rPr>
          <w:b/>
        </w:rPr>
        <w:t xml:space="preserve">a) </w:t>
      </w:r>
      <w:r>
        <w:t>De la valeur stratégique des informations protégées (code source d'un produit IA propriétaire, base de données utilisateurs, méthodes algorithmiques) ;</w:t>
      </w:r>
    </w:p>
    <w:p>
      <w:pPr>
        <w:ind w:left="454"/>
      </w:pPr>
      <w:r>
        <w:rPr>
          <w:b/>
        </w:rPr>
        <w:t xml:space="preserve">b) </w:t>
      </w:r>
      <w:r>
        <w:t>Des coûts directs de remédiation (audit, sécurisation, communication, conseils juridiques) ;</w:t>
      </w:r>
    </w:p>
    <w:p>
      <w:pPr>
        <w:ind w:left="454"/>
      </w:pPr>
      <w:r>
        <w:rPr>
          <w:b/>
        </w:rPr>
        <w:t xml:space="preserve">c) </w:t>
      </w:r>
      <w:r>
        <w:t>De la perte de spécificité concurrentielle subie par PDLConsulting du fait de la divulgation ;</w:t>
      </w:r>
    </w:p>
    <w:p>
      <w:pPr>
        <w:ind w:left="454"/>
      </w:pPr>
      <w:r>
        <w:rPr>
          <w:b/>
        </w:rPr>
        <w:t xml:space="preserve">d) </w:t>
      </w:r>
      <w:r>
        <w:t>De la difficulté pratique d'établir précisément le préjudice réel par voie d'expertise, dans un délai utile au rétablissement de la situation.</w:t>
      </w:r>
    </w:p>
    <w:p/>
    <w:p>
      <w:r>
        <w:t>La présente indemnisation forfaitaire ne fait pas obstacle à ce que PDLConsulting demande la réparation intégrale du préjudice réellement subi lorsque celui-ci excède ce montant forfaitaire, dans les conditions du droit commun mauricien.</w:t>
      </w:r>
    </w:p>
    <w:p/>
    <w:p>
      <w:r>
        <w:t>Constitue notamment un manquement caractérisé, à titre indicatif et non limitatif :</w:t>
      </w:r>
    </w:p>
    <w:p>
      <w:pPr>
        <w:ind w:left="454"/>
      </w:pPr>
      <w:r>
        <w:rPr>
          <w:b/>
        </w:rPr>
        <w:t xml:space="preserve">a) </w:t>
      </w:r>
      <w:r>
        <w:t>Toute divulgation, publication ou transmission non autorisée d'Informations Confidentielles à un tiers, quel qu'en soit le canal ;</w:t>
      </w:r>
    </w:p>
    <w:p>
      <w:pPr>
        <w:ind w:left="454"/>
      </w:pPr>
      <w:r>
        <w:rPr>
          <w:b/>
        </w:rPr>
        <w:t xml:space="preserve">b) </w:t>
      </w:r>
      <w:r>
        <w:t>Toute soumission d'Informations Confidentielles à un service d'intelligence artificielle générative grand public en violation de l'article 2.3 ;</w:t>
      </w:r>
    </w:p>
    <w:p>
      <w:pPr>
        <w:ind w:left="454"/>
      </w:pPr>
      <w:r>
        <w:rPr>
          <w:b/>
        </w:rPr>
        <w:t xml:space="preserve">c) </w:t>
      </w:r>
      <w:r>
        <w:t>Tout dépôt de titre de propriété intellectuelle sur tout ou partie des Informations Confidentielles ;</w:t>
      </w:r>
    </w:p>
    <w:p>
      <w:pPr>
        <w:ind w:left="454"/>
      </w:pPr>
      <w:r>
        <w:rPr>
          <w:b/>
        </w:rPr>
        <w:t xml:space="preserve">d) </w:t>
      </w:r>
      <w:r>
        <w:t>Toute utilisation des Informations Confidentielles pour développer un produit ou service concurrent de BoosterMail ;</w:t>
      </w:r>
    </w:p>
    <w:p>
      <w:pPr>
        <w:ind w:left="454"/>
      </w:pPr>
      <w:r>
        <w:rPr>
          <w:b/>
        </w:rPr>
        <w:t xml:space="preserve">e) </w:t>
      </w:r>
      <w:r>
        <w:t>Tout défaut de restitution ou de destruction des Informations Confidentielles dans les conditions de l'article 5.3.</w:t>
      </w:r>
    </w:p>
    <w:p/>
    <w:p>
      <w:r>
        <w:t>Les Parties conviennent expressément que ce montant correspond à une évaluation forfaitaire raisonnable du préjudice minimal subi par PDLConsulting du fait de chaque manquement caractérisé, compte tenu de la nature stratégique des Informations Confidentielles et des coûts de remédiation. Cette clause pénale ne fait pas obstacle à ce que PDLConsulting demande la réparation intégrale du préjudice réellement subi lorsque celui-ci excède ce montant forfaitaire.</w:t>
      </w:r>
    </w:p>
    <w:p/>
    <w:p>
      <w:r>
        <w:t xml:space="preserve">6.3 </w:t>
      </w:r>
      <w:r>
        <w:rPr>
          <w:b/>
        </w:rPr>
        <w:t>Mesures conservatoires (« interim and injunctive relief »).</w:t>
      </w:r>
      <w:r>
        <w:t xml:space="preserve"> Le Récipiendaire reconnaît expressément que la nature des Informations Confidentielles est telle que toute violation est susceptible de causer à PDLConsulting un </w:t>
      </w:r>
      <w:r>
        <w:rPr>
          <w:b/>
        </w:rPr>
        <w:t>préjudice irréparable</w:t>
      </w:r>
      <w:r>
        <w:t xml:space="preserve"> (« irreparable harm ») non intégralement réparable par dommages-intérêts seuls. En conséquence, PDLConsulting est fondée à solliciter, devant la Cour suprême de la République de Maurice ou toute autre juridiction compétente saisie en référé, toutes mesures conservatoires ou injonctives appropriées, notamment :</w:t>
      </w:r>
    </w:p>
    <w:p/>
    <w:p>
      <w:pPr>
        <w:ind w:left="454"/>
      </w:pPr>
      <w:r>
        <w:rPr>
          <w:b/>
        </w:rPr>
        <w:t xml:space="preserve">a) </w:t>
      </w:r>
      <w:r>
        <w:t>Une injonction de cesser toute divulgation, utilisation ou communication non autorisée des Informations Confidentielles (« injunctive relief ») ;</w:t>
      </w:r>
    </w:p>
    <w:p>
      <w:pPr>
        <w:ind w:left="454"/>
      </w:pPr>
      <w:r>
        <w:rPr>
          <w:b/>
        </w:rPr>
        <w:t xml:space="preserve">b) </w:t>
      </w:r>
      <w:r>
        <w:t>Le séquestre ou la saisie des supports contenant les Informations Confidentielles ;</w:t>
      </w:r>
    </w:p>
    <w:p>
      <w:pPr>
        <w:ind w:left="454"/>
      </w:pPr>
      <w:r>
        <w:rPr>
          <w:b/>
        </w:rPr>
        <w:t xml:space="preserve">c) </w:t>
      </w:r>
      <w:r>
        <w:t>Toute mesure de divulgation forcée d'informations relatives à l'identité des destinataires de la divulgation litigieuse (« disclosure orders »).</w:t>
      </w:r>
    </w:p>
    <w:p/>
    <w:p>
      <w:r>
        <w:t>Le Récipiendaire renonce expressément à invoquer toute exception tirée de la disponibilité d'une réparation par dommages-intérêts pour s'opposer à l'octroi de telles mesures conservatoires.</w:t>
      </w:r>
    </w:p>
    <w:p/>
    <w:p>
      <w:pPr>
        <w:pBdr>
          <w:bottom w:val="single" w:sz="6" w:space="1" w:color="999999"/>
        </w:pBdr>
      </w:pPr>
    </w:p>
    <w:p/>
    <w:p>
      <w:pPr>
        <w:pStyle w:val="Heading1"/>
      </w:pPr>
      <w:r>
        <w:t>Article 7 — Dispositions générales</w:t>
      </w:r>
    </w:p>
    <w:p/>
    <w:p>
      <w:r>
        <w:t xml:space="preserve">7.1 </w:t>
      </w:r>
      <w:r>
        <w:rPr>
          <w:b/>
        </w:rPr>
        <w:t>Indépendance des clauses.</w:t>
      </w:r>
      <w:r>
        <w:t xml:space="preserve"> La nullité éventuelle d'une clause du présent accord n'entraînera pas la nullité de l'accord dans son ensemble, les autres clauses conservant leur pleine efficacité.</w:t>
      </w:r>
    </w:p>
    <w:p/>
    <w:p>
      <w:r>
        <w:t xml:space="preserve">7.2 </w:t>
      </w:r>
      <w:r>
        <w:rPr>
          <w:b/>
        </w:rPr>
        <w:t>Renonciation.</w:t>
      </w:r>
      <w:r>
        <w:t xml:space="preserve"> Le fait pour PDLConsulting de ne pas se prévaloir d'un manquement du Récipiendaire à l'une de ses obligations ne peut être interprété comme une renonciation à s'en prévaloir ultérieurement.</w:t>
      </w:r>
    </w:p>
    <w:p/>
    <w:p>
      <w:r>
        <w:t xml:space="preserve">7.3 </w:t>
      </w:r>
      <w:r>
        <w:rPr>
          <w:b/>
        </w:rPr>
        <w:t>Modifications.</w:t>
      </w:r>
      <w:r>
        <w:t xml:space="preserve"> Toute modification du présent accord requiert un avenant écrit signé par les deux Parties.</w:t>
      </w:r>
    </w:p>
    <w:p/>
    <w:p>
      <w:r>
        <w:t xml:space="preserve">7.3 bis </w:t>
      </w:r>
      <w:r>
        <w:rPr>
          <w:b/>
        </w:rPr>
        <w:t>Cession et changement d'entité émettrice.</w:t>
      </w:r>
      <w:r>
        <w:t xml:space="preserve"> Les Parties conviennent que :</w:t>
      </w:r>
    </w:p>
    <w:p/>
    <w:p>
      <w:pPr>
        <w:ind w:left="454"/>
      </w:pPr>
      <w:r>
        <w:rPr>
          <w:b/>
        </w:rPr>
        <w:t xml:space="preserve">a) </w:t>
      </w:r>
      <w:r>
        <w:t xml:space="preserve">PDLConsulting peut, sans accord préalable du Récipiendaire, </w:t>
      </w:r>
      <w:r>
        <w:rPr>
          <w:b/>
        </w:rPr>
        <w:t>céder ou transférer le bénéfice du présent accord</w:t>
      </w:r>
      <w:r>
        <w:t xml:space="preserve"> à toute société de son groupe, à toute nouvelle entité émettrice créée par ses actionnaires ou sous leur contrôle effectif (notamment dans le cadre d'une restructuration internationale ou d'une levée de fonds), ainsi qu'à tout tiers acquéreur de tout ou partie de son activité ;</w:t>
      </w:r>
    </w:p>
    <w:p/>
    <w:p>
      <w:pPr>
        <w:ind w:left="454"/>
      </w:pPr>
      <w:r>
        <w:rPr>
          <w:b/>
        </w:rPr>
        <w:t xml:space="preserve">b) </w:t>
      </w:r>
      <w:r>
        <w:t>À la date d'effet de la cession, l'</w:t>
      </w:r>
      <w:r>
        <w:rPr>
          <w:b/>
        </w:rPr>
        <w:t>entité cessionnaire</w:t>
      </w:r>
      <w:r>
        <w:t xml:space="preserve"> se substitue de plein droit à PDLConsulting dans l'intégralité de ses droits au titre du présent accord, y compris la propriété des Informations Confidentielles et le bénéfice des obligations de confidentialité, de non-réutilisation et de protection des secrets d'affaires souscrites par le Récipiendaire ;</w:t>
      </w:r>
    </w:p>
    <w:p/>
    <w:p>
      <w:pPr>
        <w:ind w:left="454"/>
      </w:pPr>
      <w:r>
        <w:rPr>
          <w:b/>
        </w:rPr>
        <w:t xml:space="preserve">c) </w:t>
      </w:r>
      <w:r>
        <w:t>Le Récipiendaire est informé par écrit de la cession dans un délai raisonnable et reconnaît dès à présent que ses obligations au titre du présent accord bénéficient automatiquement à l'entité cessionnaire dans les mêmes conditions ;</w:t>
      </w:r>
    </w:p>
    <w:p/>
    <w:p>
      <w:pPr>
        <w:ind w:left="454"/>
      </w:pPr>
      <w:r>
        <w:rPr>
          <w:b/>
        </w:rPr>
        <w:t xml:space="preserve">d) </w:t>
      </w:r>
      <w:r>
        <w:t>Les stipulations relatives à la loi applicable et à la juridiction (articles 7.5 et 7.6) demeurent inchangées à la suite de la cession, sauf avenant écrit signé par les Parties (l'entité cessionnaire et le Récipiendaire) postérieurement à la cession.</w:t>
      </w:r>
    </w:p>
    <w:p/>
    <w:p>
      <w:r>
        <w:t xml:space="preserve">7.4 </w:t>
      </w:r>
      <w:r>
        <w:rPr>
          <w:b/>
        </w:rPr>
        <w:t>Notifications.</w:t>
      </w:r>
      <w:r>
        <w:t xml:space="preserve"> Toute notification au titre du présent accord sera valablement adressée par courrier électronique avec accusé de réception aux adresses suivantes :</w:t>
      </w:r>
    </w:p>
    <w:p/>
    <w:p>
      <w:pPr>
        <w:pStyle w:val="ListBullet"/>
      </w:pPr>
      <w:r>
        <w:t>Pour PDLConsulting : [À COMPLÉTER : email officiel, ex. legal@boostermail.ai]</w:t>
      </w:r>
    </w:p>
    <w:p>
      <w:pPr>
        <w:pStyle w:val="ListBullet"/>
      </w:pPr>
      <w:r>
        <w:t>Pour Mikadb LLC : [À COMPLÉTER : email du représentant Mikadb]</w:t>
      </w:r>
    </w:p>
    <w:p/>
    <w:p>
      <w:r>
        <w:t xml:space="preserve">7.5 </w:t>
      </w:r>
      <w:r>
        <w:rPr>
          <w:b/>
        </w:rPr>
        <w:t>Loi applicable.</w:t>
      </w:r>
      <w:r>
        <w:t xml:space="preserve"> Le présent accord est régi et interprété conformément au </w:t>
      </w:r>
      <w:r>
        <w:rPr>
          <w:b/>
        </w:rPr>
        <w:t>droit de la République de Maurice</w:t>
      </w:r>
      <w:r>
        <w:t>, en particulier à ses dispositions de droit commercial et des sociétés (Companies Act 2001), de droit de la propriété intellectuelle (Copyright Act 1997, Industrial Property Act 2019), de protection des données (Data Protection Act 2017), et au Code civil mauricien pour les matières civiles non couvertes par les lois commerciales spéciales.</w:t>
      </w:r>
    </w:p>
    <w:p/>
    <w:p>
      <w:r>
        <w:t xml:space="preserve">7.6 </w:t>
      </w:r>
      <w:r>
        <w:rPr>
          <w:b/>
        </w:rPr>
        <w:t>Juridiction.</w:t>
      </w:r>
      <w:r>
        <w:t xml:space="preserve"> Tout litige relatif à la formation, l'exécution, l'interprétation ou la résiliation du présent accord, qui n'aurait pu être résolu à l'amiable, sera soumis à la compétence exclusive de la </w:t>
      </w:r>
      <w:r>
        <w:rPr>
          <w:b/>
        </w:rPr>
        <w:t>Cour suprême de la République de Maurice (Supreme Court of Mauritius — Commercial Division)</w:t>
      </w:r>
      <w:r>
        <w:t>, nonobstant pluralité de défendeurs ou appel en garantie. Les Parties renoncent expressément à se prévaloir de toute autre juridiction.</w:t>
      </w:r>
    </w:p>
    <w:p/>
    <w:p>
      <w:pPr>
        <w:pBdr>
          <w:bottom w:val="single" w:sz="6" w:space="1" w:color="999999"/>
        </w:pBdr>
      </w:pPr>
    </w:p>
    <w:p/>
    <w:p>
      <w:pPr>
        <w:pStyle w:val="Heading1"/>
      </w:pPr>
      <w:r>
        <w:t>Signatures</w:t>
      </w:r>
    </w:p>
    <w:p/>
    <w:p>
      <w:r>
        <w:t>Fait en deux (2) exemplaires originaux, à Grand Baie (République de Maurice), le [date de signature].</w:t>
      </w:r>
    </w:p>
    <w:p/>
    <w:tbl>
      <w:tblPr>
        <w:tblStyle w:val="LightGrid-Accent1"/>
        <w:tblW w:type="auto" w:w="0"/>
        <w:jc w:val="center"/>
        <w:tblLook w:firstColumn="1" w:firstRow="1" w:lastColumn="0" w:lastRow="0" w:noHBand="0" w:noVBand="1" w:val="04A0"/>
      </w:tblPr>
      <w:tblGrid>
        <w:gridCol w:w="4703"/>
        <w:gridCol w:w="4703"/>
      </w:tblGrid>
      <w:tr>
        <w:tc>
          <w:tcPr>
            <w:tcW w:type="dxa" w:w="4703"/>
            <w:shd w:fill="D5E8F0" w:val="clear"/>
          </w:tcPr>
          <w:p>
            <w:r>
              <w:rPr>
                <w:b/>
              </w:rPr>
            </w:r>
            <w:r>
              <w:rPr>
                <w:b/>
              </w:rPr>
              <w:t>Pour PDLConsulting</w:t>
            </w:r>
          </w:p>
        </w:tc>
        <w:tc>
          <w:tcPr>
            <w:tcW w:type="dxa" w:w="4703"/>
            <w:shd w:fill="D5E8F0" w:val="clear"/>
          </w:tcPr>
          <w:p>
            <w:r>
              <w:rPr>
                <w:b/>
              </w:rPr>
            </w:r>
            <w:r>
              <w:rPr>
                <w:b/>
              </w:rPr>
              <w:t>Pour Mikadb LLC</w:t>
            </w:r>
          </w:p>
        </w:tc>
      </w:tr>
      <w:tr>
        <w:tc>
          <w:tcPr>
            <w:tcW w:type="dxa" w:w="4703"/>
          </w:tcPr>
          <w:p>
            <w:r/>
            <w:r>
              <w:t>Yvan BOSSER</w:t>
            </w:r>
          </w:p>
        </w:tc>
        <w:tc>
          <w:tcPr>
            <w:tcW w:type="dxa" w:w="4703"/>
          </w:tcPr>
          <w:p>
            <w:r/>
            <w:r>
              <w:t>Michael de Brauwer</w:t>
            </w:r>
          </w:p>
        </w:tc>
      </w:tr>
      <w:tr>
        <w:tc>
          <w:tcPr>
            <w:tcW w:type="dxa" w:w="4703"/>
          </w:tcPr>
          <w:p>
            <w:r/>
            <w:r>
              <w:t>Directeur</w:t>
            </w:r>
          </w:p>
        </w:tc>
        <w:tc>
          <w:tcPr>
            <w:tcW w:type="dxa" w:w="4703"/>
          </w:tcPr>
          <w:p>
            <w:r/>
            <w:r>
              <w:t>Manager</w:t>
            </w:r>
          </w:p>
        </w:tc>
      </w:tr>
      <w:tr>
        <w:tc>
          <w:tcPr>
            <w:tcW w:type="dxa" w:w="4703"/>
          </w:tcPr>
          <w:p>
            <w:r/>
            <w:r>
              <w:t>Signature :</w:t>
            </w:r>
          </w:p>
        </w:tc>
        <w:tc>
          <w:tcPr>
            <w:tcW w:type="dxa" w:w="4703"/>
          </w:tcPr>
          <w:p>
            <w:r/>
            <w:r>
              <w:t>Signature :</w:t>
            </w:r>
          </w:p>
        </w:tc>
      </w:tr>
      <w:tr>
        <w:tc>
          <w:tcPr>
            <w:tcW w:type="dxa" w:w="4703"/>
          </w:tcPr>
          <w:p>
            <w:r/>
            <w:r>
              <w:t>Date :</w:t>
            </w:r>
          </w:p>
        </w:tc>
        <w:tc>
          <w:tcPr>
            <w:tcW w:type="dxa" w:w="4703"/>
          </w:tcPr>
          <w:p>
            <w:r/>
            <w:r>
              <w:t>Date :</w:t>
            </w:r>
          </w:p>
        </w:tc>
      </w:tr>
    </w:tbl>
    <w:p/>
    <w:p>
      <w:pPr>
        <w:ind w:left="340"/>
      </w:pPr>
      <w:r>
        <w:rPr>
          <w:i/>
          <w:color w:val="595959"/>
        </w:rPr>
        <w:t xml:space="preserve">« </w:t>
      </w:r>
      <w:r>
        <w:rPr>
          <w:i/>
          <w:color w:val="595959"/>
        </w:rPr>
        <w:t>[NOTE INTERNE : la mention manuscrite « Lu et approuvé » n'est pas obligatoire en droit français mais reste une pratique répandue et utile en cas de litige. À demander si possible.]</w:t>
      </w:r>
      <w:r>
        <w:rPr>
          <w:i/>
        </w:rPr>
        <w:t xml:space="preserve"> »</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