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Annexe 1 — Annexe Mission n° [À COMPLÉTER]</w:t>
      </w:r>
    </w:p>
    <w:p/>
    <w:p>
      <w:pPr>
        <w:ind w:left="340"/>
      </w:pPr>
      <w:r>
        <w:rPr>
          <w:i/>
          <w:color w:val="595959"/>
        </w:rPr>
        <w:t xml:space="preserve">« </w:t>
      </w:r>
      <w:r>
        <w:rPr>
          <w:i/>
          <w:color w:val="595959"/>
        </w:rPr>
        <w:t>[NOTE INTERNE : ce document est à rédiger et signer pour CHAQUE nouvelle mission. Il complète le Contrat de Prestation principal en précisant le scope, les délais et la rémunération propres à la mission.]</w:t>
      </w:r>
      <w:r>
        <w:rPr>
          <w:i/>
        </w:rPr>
        <w:t xml:space="preserve"> »</w:t>
      </w:r>
    </w:p>
    <w:p/>
    <w:p>
      <w:r>
        <w:rPr>
          <w:b/>
        </w:rPr>
        <w:t>Référence Contrat de Prestation</w:t>
      </w:r>
      <w:r>
        <w:t xml:space="preserve"> : signé le [date du contrat principal]</w:t>
      </w:r>
    </w:p>
    <w:p>
      <w:r>
        <w:rPr>
          <w:b/>
        </w:rPr>
        <w:t>Numéro d'Annexe Mission</w:t>
      </w:r>
      <w:r>
        <w:t xml:space="preserve"> : [n° séquentiel, ex. AM-2026-001]</w:t>
      </w:r>
    </w:p>
    <w:p>
      <w:r>
        <w:rPr>
          <w:b/>
        </w:rPr>
        <w:t>Date d'effet</w:t>
      </w:r>
      <w:r>
        <w:t xml:space="preserve"> : [date]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1. Identification de la mission</w:t>
      </w:r>
    </w:p>
    <w:p/>
    <w:p>
      <w:r>
        <w:rPr>
          <w:b/>
        </w:rPr>
        <w:t>Intitulé de la mission</w:t>
      </w:r>
      <w:r>
        <w:t xml:space="preserve"> : [À COMPLÉTER : titre court et explicite, ex. « Refonte de l'interface de classement Outlook Web »]</w:t>
      </w:r>
    </w:p>
    <w:p/>
    <w:p>
      <w:r>
        <w:rPr>
          <w:b/>
        </w:rPr>
        <w:t>Objet et contexte</w:t>
      </w:r>
      <w:r>
        <w:t xml:space="preserve"> :</w:t>
      </w:r>
    </w:p>
    <w:p/>
    <w:p>
      <w:r>
        <w:t>[À COMPLÉTER : description en 5-10 lignes du contexte business, du problème à résoudre, et de l'objectif visé. Exemple :</w:t>
      </w:r>
    </w:p>
    <w:p>
      <w:r>
        <w:t>« BoosterMail propose actuellement un classement automatique des emails dans les dossiers Outlook via une suggestion IA top 1. Les retours utilisateurs montrent un besoin de présenter les 3 meilleures suggestions avec possibilité de saisie manuelle. La présente mission consiste à refondre l'interface frontale du module de classement (V2/dialog.html, V2/dialog.js) pour intégrer ces évolutions, sans modification du backend. »]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2. Périmètre de la mission</w:t>
      </w:r>
    </w:p>
    <w:p/>
    <w:p>
      <w:pPr>
        <w:pStyle w:val="Heading2"/>
      </w:pPr>
      <w:r>
        <w:t>2.1 Périmètre fonctionnel</w:t>
      </w:r>
    </w:p>
    <w:p/>
    <w:p>
      <w:r>
        <w:t>[À COMPLÉTER : liste précise des fonctionnalités à développer ou modifier]</w:t>
      </w:r>
    </w:p>
    <w:p/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/>
    <w:p>
      <w:pPr>
        <w:pStyle w:val="Heading2"/>
      </w:pPr>
      <w:r>
        <w:t>2.2 Périmètre technique</w:t>
      </w:r>
    </w:p>
    <w:p/>
    <w:p>
      <w:r>
        <w:t>[À COMPLÉTER : liste des fichiers, modules, technologies concernés]</w:t>
      </w:r>
    </w:p>
    <w:p/>
    <w:p>
      <w:pPr>
        <w:pStyle w:val="ListBullet"/>
      </w:pPr>
      <w:r>
        <w:t xml:space="preserve">Fichiers à modifier : </w:t>
      </w:r>
      <w:r>
        <w:rPr>
          <w:rFonts w:ascii="Consolas" w:hAnsi="Consolas"/>
          <w:sz w:val="20"/>
        </w:rPr>
        <w:t>V2/...</w:t>
      </w:r>
    </w:p>
    <w:p>
      <w:pPr>
        <w:pStyle w:val="ListBullet"/>
      </w:pPr>
      <w:r>
        <w:t>Technologies : [HTML / CSS / JS vanilla / Python Flask / etc.]</w:t>
      </w:r>
    </w:p>
    <w:p>
      <w:pPr>
        <w:pStyle w:val="ListBullet"/>
      </w:pPr>
      <w:r>
        <w:t>Environnements : développement local uniquement [/ déploiement OVH si autorisé]</w:t>
      </w:r>
    </w:p>
    <w:p/>
    <w:p>
      <w:pPr>
        <w:pStyle w:val="Heading2"/>
      </w:pPr>
      <w:r>
        <w:t>2.3 Hors périmètre</w:t>
      </w:r>
    </w:p>
    <w:p/>
    <w:p>
      <w:r>
        <w:t>[À COMPLÉTER : ce qui n'est PAS inclus, pour éviter ambiguïté]</w:t>
      </w:r>
    </w:p>
    <w:p/>
    <w:p>
      <w:pPr>
        <w:pStyle w:val="ListBullet"/>
      </w:pPr>
      <w:r>
        <w:t>...</w:t>
      </w:r>
    </w:p>
    <w:p>
      <w:pPr>
        <w:pStyle w:val="ListBullet"/>
      </w:pPr>
      <w:r>
        <w:t>...</w:t>
      </w:r>
    </w:p>
    <w:p/>
    <w:p>
      <w:pPr>
        <w:pStyle w:val="Heading2"/>
      </w:pPr>
      <w:r>
        <w:t>2.4 Pré-requis fournis par PDLConsulting</w:t>
      </w:r>
    </w:p>
    <w:p/>
    <w:p>
      <w:r>
        <w:t>[À COMPLÉTER : ce que PDLConsulting fournit pour permettre l'exécution]</w:t>
      </w:r>
    </w:p>
    <w:p/>
    <w:p>
      <w:pPr>
        <w:pStyle w:val="ListBullet"/>
      </w:pPr>
      <w:r>
        <w:t>Accès au dépôt GitHub en mode collaborateur</w:t>
      </w:r>
    </w:p>
    <w:p>
      <w:pPr>
        <w:pStyle w:val="ListBullet"/>
      </w:pPr>
      <w:r>
        <w:t>Documentation de l'architecture (</w:t>
      </w:r>
      <w:r>
        <w:rPr>
          <w:rFonts w:ascii="Consolas" w:hAnsi="Consolas"/>
          <w:sz w:val="20"/>
        </w:rPr>
        <w:t>CLAUDE.md</w:t>
      </w:r>
      <w:r>
        <w:t xml:space="preserve">, </w:t>
      </w:r>
      <w:r>
        <w:rPr>
          <w:rFonts w:ascii="Consolas" w:hAnsi="Consolas"/>
          <w:sz w:val="20"/>
        </w:rPr>
        <w:t>docs/...</w:t>
      </w:r>
      <w:r>
        <w:t>)</w:t>
      </w:r>
    </w:p>
    <w:p>
      <w:pPr>
        <w:pStyle w:val="ListBullet"/>
      </w:pPr>
      <w:r>
        <w:t>...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3. Livrables attendus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51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Livrable</w:t>
            </w:r>
          </w:p>
        </w:tc>
        <w:tc>
          <w:tcPr>
            <w:tcW w:type="dxa" w:w="2351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2351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Date prévue</w:t>
            </w:r>
          </w:p>
        </w:tc>
      </w:tr>
      <w:tr>
        <w:tc>
          <w:tcPr>
            <w:tcW w:type="dxa" w:w="2351"/>
          </w:tcPr>
          <w:p>
            <w:r/>
            <w:r>
              <w:t>L1</w:t>
            </w:r>
          </w:p>
        </w:tc>
        <w:tc>
          <w:tcPr>
            <w:tcW w:type="dxa" w:w="2351"/>
          </w:tcPr>
          <w:p>
            <w:r/>
            <w:r>
              <w:t>[Description]</w:t>
            </w:r>
          </w:p>
        </w:tc>
        <w:tc>
          <w:tcPr>
            <w:tcW w:type="dxa" w:w="2351"/>
          </w:tcPr>
          <w:p>
            <w:r/>
            <w:r>
              <w:t xml:space="preserve">[Code dans branche </w:t>
            </w:r>
            <w:r>
              <w:rPr>
                <w:rFonts w:ascii="Consolas" w:hAnsi="Consolas"/>
                <w:sz w:val="20"/>
              </w:rPr>
              <w:t>feat/.../...</w:t>
            </w:r>
            <w:r>
              <w:t xml:space="preserve"> + PR vers master / Doc Markdown / etc.]</w:t>
            </w:r>
          </w:p>
        </w:tc>
        <w:tc>
          <w:tcPr>
            <w:tcW w:type="dxa" w:w="2351"/>
          </w:tcPr>
          <w:p>
            <w:r/>
            <w:r>
              <w:t>[date]</w:t>
            </w:r>
          </w:p>
        </w:tc>
      </w:tr>
      <w:tr>
        <w:tc>
          <w:tcPr>
            <w:tcW w:type="dxa" w:w="2351"/>
          </w:tcPr>
          <w:p>
            <w:r/>
            <w:r>
              <w:t>L2</w:t>
            </w:r>
          </w:p>
        </w:tc>
        <w:tc>
          <w:tcPr>
            <w:tcW w:type="dxa" w:w="2351"/>
          </w:tcPr>
          <w:p>
            <w:r/>
            <w:r>
              <w:t>...</w:t>
            </w:r>
          </w:p>
        </w:tc>
        <w:tc>
          <w:tcPr>
            <w:tcW w:type="dxa" w:w="2351"/>
          </w:tcPr>
          <w:p>
            <w:r/>
            <w:r>
              <w:t>...</w:t>
            </w:r>
          </w:p>
        </w:tc>
        <w:tc>
          <w:tcPr>
            <w:tcW w:type="dxa" w:w="2351"/>
          </w:tcPr>
          <w:p>
            <w:r/>
            <w:r>
              <w:t>...</w:t>
            </w:r>
          </w:p>
        </w:tc>
      </w:tr>
    </w:tbl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4. Critères d'acceptation (recette)</w:t>
      </w:r>
    </w:p>
    <w:p/>
    <w:p>
      <w:r>
        <w:t>Le ou les livrables seront considérés comme conformes si l'ensemble des critères ci-dessous sont remplis :</w:t>
      </w:r>
    </w:p>
    <w:p/>
    <w:p>
      <w:pPr>
        <w:pStyle w:val="Heading2"/>
      </w:pPr>
      <w:r>
        <w:t>4.1 Critères fonctionnels</w:t>
      </w:r>
    </w:p>
    <w:p/>
    <w:p>
      <w:pPr>
        <w:pStyle w:val="ListBullet"/>
      </w:pPr>
      <w:r>
        <w:t>[ ] [Critère fonctionnel 1, ex. : « la suggestion IA top 3 s'affiche dans la modale en moins d'1 seconde »]</w:t>
      </w:r>
    </w:p>
    <w:p>
      <w:pPr>
        <w:pStyle w:val="ListBullet"/>
      </w:pPr>
      <w:r>
        <w:t>[ ] [Critère fonctionnel 2]</w:t>
      </w:r>
    </w:p>
    <w:p/>
    <w:p>
      <w:pPr>
        <w:pStyle w:val="Heading2"/>
      </w:pPr>
      <w:r>
        <w:t>4.2 Critères de qualité</w:t>
      </w:r>
    </w:p>
    <w:p/>
    <w:p>
      <w:pPr>
        <w:pStyle w:val="ListBullet"/>
      </w:pPr>
      <w:r>
        <w:t>[ ] Code testé sur les environnements cibles spécifiés au § 2 sans régression du flow existant</w:t>
      </w:r>
    </w:p>
    <w:p>
      <w:pPr>
        <w:pStyle w:val="ListBullet"/>
      </w:pPr>
      <w:r>
        <w:t xml:space="preserve">[ ] Code respectant les conventions documentées dans </w:t>
      </w:r>
      <w:r>
        <w:rPr>
          <w:rFonts w:ascii="Consolas" w:hAnsi="Consolas"/>
          <w:sz w:val="20"/>
        </w:rPr>
        <w:t>CLAUDE.md</w:t>
      </w:r>
      <w:r>
        <w:t xml:space="preserve"> du dépôt</w:t>
      </w:r>
    </w:p>
    <w:p>
      <w:pPr>
        <w:pStyle w:val="ListBullet"/>
      </w:pPr>
      <w:r>
        <w:t>[ ] PR descriptive avec captures d'écran avant/après lorsque la mission concerne l'UI</w:t>
      </w:r>
    </w:p>
    <w:p/>
    <w:p>
      <w:pPr>
        <w:pStyle w:val="Heading2"/>
      </w:pPr>
      <w:r>
        <w:t>4.3 Critères de performance et de sécurité (à activer selon scope)</w:t>
      </w:r>
    </w:p>
    <w:p/>
    <w:p>
      <w:r>
        <w:t>[À COMPLÉTER ou supprimer si non pertinent pour la mission]</w:t>
      </w:r>
    </w:p>
    <w:p/>
    <w:p>
      <w:pPr>
        <w:pStyle w:val="ListBullet"/>
      </w:pPr>
      <w:r>
        <w:t>[ ] Temps de réponse de la fonctionnalité ajoutée &lt; [X] ms (P95) en conditions de production simulées</w:t>
      </w:r>
    </w:p>
    <w:p>
      <w:pPr>
        <w:pStyle w:val="ListBullet"/>
      </w:pPr>
      <w:r>
        <w:t xml:space="preserve">[ ] Aucune régression sur le </w:t>
      </w:r>
      <w:r>
        <w:rPr>
          <w:rFonts w:ascii="Consolas" w:hAnsi="Consolas"/>
          <w:sz w:val="20"/>
        </w:rPr>
        <w:t>smoke_test</w:t>
      </w:r>
      <w:r>
        <w:t xml:space="preserve"> du dépôt (test E2E pytest 10/10 PASS)</w:t>
      </w:r>
    </w:p>
    <w:p>
      <w:pPr>
        <w:pStyle w:val="ListBullet"/>
      </w:pPr>
      <w:r>
        <w:t>[ ] Aucune dépendance ajoutée sans validation préalable de PDLConsulting (sécurité supply chain)</w:t>
      </w:r>
    </w:p>
    <w:p>
      <w:pPr>
        <w:pStyle w:val="ListBullet"/>
      </w:pPr>
      <w:r>
        <w:t>[ ] Aucun secret committé (vérification automatique au pre-commit ou validation manuelle)</w:t>
      </w:r>
    </w:p>
    <w:p>
      <w:pPr>
        <w:pStyle w:val="ListBullet"/>
      </w:pPr>
      <w:r>
        <w:t>[ ] Aucune nouvelle exception non gérée détectée dans les logs après recette</w:t>
      </w:r>
    </w:p>
    <w:p/>
    <w:p>
      <w:pPr>
        <w:pStyle w:val="Heading2"/>
      </w:pPr>
      <w:r>
        <w:t>4.4 Critères documentaires</w:t>
      </w:r>
    </w:p>
    <w:p/>
    <w:p>
      <w:pPr>
        <w:pStyle w:val="ListBullet"/>
      </w:pPr>
      <w:r>
        <w:t xml:space="preserve">[ ] Documentation de reprise mise à jour : </w:t>
      </w:r>
      <w:r>
        <w:rPr>
          <w:rFonts w:ascii="Consolas" w:hAnsi="Consolas"/>
          <w:sz w:val="20"/>
        </w:rPr>
        <w:t>CLAUDE.md</w:t>
      </w:r>
      <w:r>
        <w:t xml:space="preserve">, ou </w:t>
      </w:r>
      <w:r>
        <w:rPr>
          <w:rFonts w:ascii="Consolas" w:hAnsi="Consolas"/>
          <w:sz w:val="20"/>
        </w:rPr>
        <w:t>docs/&lt;sujet&gt;.md</w:t>
      </w:r>
      <w:r>
        <w:t>, ou commentaires de code lorsque la décision est non évidente</w:t>
      </w:r>
    </w:p>
    <w:p>
      <w:pPr>
        <w:pStyle w:val="ListBullet"/>
      </w:pPr>
      <w:r>
        <w:t>[ ] Liste à jour des dépendances et de leurs licences (vérification compatibilité commerciale, cf. art. 9.4 du Contrat)</w:t>
      </w:r>
    </w:p>
    <w:p/>
    <w:p>
      <w:pPr>
        <w:pStyle w:val="Heading2"/>
      </w:pPr>
      <w:r>
        <w:t>4.5 Critère opérationnel</w:t>
      </w:r>
    </w:p>
    <w:p/>
    <w:p>
      <w:pPr>
        <w:pStyle w:val="ListBullet"/>
      </w:pPr>
      <w:r>
        <w:t>[ ] Aucune modification de fichiers hors du périmètre défini au § 2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5. Calendrier prévisionnel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Étape</w:t>
            </w:r>
          </w:p>
        </w:tc>
        <w:tc>
          <w:tcPr>
            <w:tcW w:type="dxa" w:w="3135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Date prévue</w:t>
            </w:r>
          </w:p>
        </w:tc>
        <w:tc>
          <w:tcPr>
            <w:tcW w:type="dxa" w:w="3135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3135"/>
          </w:tcPr>
          <w:p>
            <w:r/>
            <w:r>
              <w:t>Démarrage de la mission</w:t>
            </w:r>
          </w:p>
        </w:tc>
        <w:tc>
          <w:tcPr>
            <w:tcW w:type="dxa" w:w="3135"/>
          </w:tcPr>
          <w:p>
            <w:r/>
            <w:r>
              <w:t>[date]</w:t>
            </w:r>
          </w:p>
        </w:tc>
        <w:tc>
          <w:tcPr>
            <w:tcW w:type="dxa" w:w="3135"/>
          </w:tcPr>
          <w:p>
            <w:r/>
            <w:r>
              <w:t>Prestataire</w:t>
            </w:r>
          </w:p>
        </w:tc>
      </w:tr>
      <w:tr>
        <w:tc>
          <w:tcPr>
            <w:tcW w:type="dxa" w:w="3135"/>
          </w:tcPr>
          <w:p>
            <w:r/>
            <w:r>
              <w:t>Point d'avancement intermédiaire (mi-mission)</w:t>
            </w:r>
          </w:p>
        </w:tc>
        <w:tc>
          <w:tcPr>
            <w:tcW w:type="dxa" w:w="3135"/>
          </w:tcPr>
          <w:p>
            <w:r/>
            <w:r>
              <w:t>[date]</w:t>
            </w:r>
          </w:p>
        </w:tc>
        <w:tc>
          <w:tcPr>
            <w:tcW w:type="dxa" w:w="3135"/>
          </w:tcPr>
          <w:p>
            <w:r/>
            <w:r>
              <w:t>Prestataire + PDLConsulting</w:t>
            </w:r>
          </w:p>
        </w:tc>
      </w:tr>
      <w:tr>
        <w:tc>
          <w:tcPr>
            <w:tcW w:type="dxa" w:w="3135"/>
          </w:tcPr>
          <w:p>
            <w:r/>
            <w:r>
              <w:t>Livraison finale</w:t>
            </w:r>
          </w:p>
        </w:tc>
        <w:tc>
          <w:tcPr>
            <w:tcW w:type="dxa" w:w="3135"/>
          </w:tcPr>
          <w:p>
            <w:r/>
            <w:r>
              <w:t>[date]</w:t>
            </w:r>
          </w:p>
        </w:tc>
        <w:tc>
          <w:tcPr>
            <w:tcW w:type="dxa" w:w="3135"/>
          </w:tcPr>
          <w:p>
            <w:r/>
            <w:r>
              <w:t>Prestataire</w:t>
            </w:r>
          </w:p>
        </w:tc>
      </w:tr>
      <w:tr>
        <w:tc>
          <w:tcPr>
            <w:tcW w:type="dxa" w:w="3135"/>
          </w:tcPr>
          <w:p>
            <w:r/>
            <w:r>
              <w:t>Recette par PDLConsulting</w:t>
            </w:r>
          </w:p>
        </w:tc>
        <w:tc>
          <w:tcPr>
            <w:tcW w:type="dxa" w:w="3135"/>
          </w:tcPr>
          <w:p>
            <w:r/>
            <w:r>
              <w:t>[date+10j]</w:t>
            </w:r>
          </w:p>
        </w:tc>
        <w:tc>
          <w:tcPr>
            <w:tcW w:type="dxa" w:w="3135"/>
          </w:tcPr>
          <w:p>
            <w:r/>
            <w:r>
              <w:t>PDLConsulting</w:t>
            </w:r>
          </w:p>
        </w:tc>
      </w:tr>
      <w:tr>
        <w:tc>
          <w:tcPr>
            <w:tcW w:type="dxa" w:w="3135"/>
          </w:tcPr>
          <w:p>
            <w:r/>
            <w:r>
              <w:t>Corrections éventuelles (cycle 1)</w:t>
            </w:r>
          </w:p>
        </w:tc>
        <w:tc>
          <w:tcPr>
            <w:tcW w:type="dxa" w:w="3135"/>
          </w:tcPr>
          <w:p>
            <w:r/>
            <w:r>
              <w:t>[si nécessaire, date+15j]</w:t>
            </w:r>
          </w:p>
        </w:tc>
        <w:tc>
          <w:tcPr>
            <w:tcW w:type="dxa" w:w="3135"/>
          </w:tcPr>
          <w:p>
            <w:r/>
            <w:r>
              <w:t>Prestataire</w:t>
            </w:r>
          </w:p>
        </w:tc>
      </w:tr>
    </w:tbl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6. Modalités de suivi</w:t>
      </w:r>
    </w:p>
    <w:p/>
    <w:p>
      <w:pPr>
        <w:pStyle w:val="ListBullet"/>
      </w:pPr>
      <w:r>
        <w:rPr>
          <w:b/>
        </w:rPr>
        <w:t>Interlocuteur PDLConsulting</w:t>
      </w:r>
      <w:r>
        <w:t xml:space="preserve"> : Yvan BOSSER (yvan@boostermail.ai ou autre canal convenu)</w:t>
      </w:r>
    </w:p>
    <w:p>
      <w:pPr>
        <w:pStyle w:val="ListBullet"/>
      </w:pPr>
      <w:r>
        <w:rPr>
          <w:b/>
        </w:rPr>
        <w:t>Fréquence des points de suivi</w:t>
      </w:r>
      <w:r>
        <w:t xml:space="preserve"> : [hebdomadaire / bi-hebdomadaire / à la demande]</w:t>
      </w:r>
    </w:p>
    <w:p>
      <w:pPr>
        <w:pStyle w:val="ListBullet"/>
      </w:pPr>
      <w:r>
        <w:rPr>
          <w:b/>
        </w:rPr>
        <w:t>Canal d'échange opérationnel</w:t>
      </w:r>
      <w:r>
        <w:t xml:space="preserve"> : [email / Slack / WhatsApp / autre]</w:t>
      </w:r>
    </w:p>
    <w:p>
      <w:pPr>
        <w:pStyle w:val="ListBullet"/>
      </w:pPr>
      <w:r>
        <w:rPr>
          <w:b/>
        </w:rPr>
        <w:t>Outil de suivi</w:t>
      </w:r>
      <w:r>
        <w:t xml:space="preserve"> : [GitHub Issues / Jira / Trello / autre]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7. Rémunération</w:t>
      </w:r>
    </w:p>
    <w:p/>
    <w:p>
      <w:r>
        <w:t>[À COMPLÉTER selon le mode choisi]</w:t>
      </w:r>
    </w:p>
    <w:p/>
    <w:p>
      <w:pPr>
        <w:pStyle w:val="Heading2"/>
      </w:pPr>
      <w:r>
        <w:t>Option A — Forfait mission</w:t>
      </w:r>
    </w:p>
    <w:p/>
    <w:p>
      <w:r>
        <w:rPr>
          <w:b/>
        </w:rPr>
        <w:t>Montant forfaitaire</w:t>
      </w:r>
      <w:r>
        <w:t xml:space="preserve"> : [montant] € HT</w:t>
      </w:r>
    </w:p>
    <w:p/>
    <w:p>
      <w:r>
        <w:rPr>
          <w:b/>
        </w:rPr>
        <w:t>Modalités de paiement</w:t>
      </w:r>
      <w:r>
        <w:t xml:space="preserve"> :</w:t>
      </w:r>
    </w:p>
    <w:p>
      <w:pPr>
        <w:pStyle w:val="ListBullet"/>
      </w:pPr>
      <w:r>
        <w:t>[50 % à la signature de la présente Annexe / facture intermédiaire]</w:t>
      </w:r>
    </w:p>
    <w:p>
      <w:pPr>
        <w:pStyle w:val="ListBullet"/>
      </w:pPr>
      <w:r>
        <w:t>[50 % à la recette définitive du dernier livrable / facture finale]</w:t>
      </w:r>
    </w:p>
    <w:p/>
    <w:p>
      <w:pPr>
        <w:pStyle w:val="Heading2"/>
      </w:pPr>
      <w:r>
        <w:t>Option B — Au TJM (rappel article 8 du Contrat principal)</w:t>
      </w:r>
    </w:p>
    <w:p/>
    <w:p>
      <w:r>
        <w:rPr>
          <w:b/>
        </w:rPr>
        <w:t>TJM</w:t>
      </w:r>
      <w:r>
        <w:t xml:space="preserve"> : [montant] € HT</w:t>
      </w:r>
    </w:p>
    <w:p>
      <w:r>
        <w:rPr>
          <w:b/>
        </w:rPr>
        <w:t>Estimation de jours</w:t>
      </w:r>
      <w:r>
        <w:t xml:space="preserve"> : [X] jours sur la durée de la mission</w:t>
      </w:r>
    </w:p>
    <w:p>
      <w:r>
        <w:rPr>
          <w:b/>
        </w:rPr>
        <w:t>Plafond de jours sans accord préalable</w:t>
      </w:r>
      <w:r>
        <w:t xml:space="preserve"> : [X] jours (au-delà : avenant écrit requis)</w:t>
      </w:r>
    </w:p>
    <w:p>
      <w:r>
        <w:rPr>
          <w:b/>
        </w:rPr>
        <w:t>Compte rendu d'activité</w:t>
      </w:r>
      <w:r>
        <w:t xml:space="preserve"> : transmis à chaque facturation mensuelle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8. Pénalités de retard (option)</w:t>
      </w:r>
    </w:p>
    <w:p/>
    <w:p>
      <w:r>
        <w:t>[À COMPLÉTER ou supprimer si non applicable. À activer en cas de mission à enjeu fort où la date de livraison est critique.]</w:t>
      </w:r>
    </w:p>
    <w:p/>
    <w:p>
      <w:r>
        <w:t xml:space="preserve">En cas de retard imputable au Prestataire dans la livraison définitive du livrable, par rapport à la date prévue au § 5, et après mise en demeure restée infructueuse pendant </w:t>
      </w:r>
      <w:r>
        <w:rPr>
          <w:b/>
        </w:rPr>
        <w:t>cinq (5) jours ouvrés</w:t>
      </w:r>
      <w:r>
        <w:t>, des pénalités s'appliquent dans les conditions suivantes :</w:t>
      </w:r>
    </w:p>
    <w:p/>
    <w:p>
      <w:pPr>
        <w:pStyle w:val="ListBullet"/>
      </w:pPr>
      <w:r>
        <w:rPr>
          <w:b/>
        </w:rPr>
        <w:t>Montant</w:t>
      </w:r>
      <w:r>
        <w:t xml:space="preserve"> : [À COMPLÉTER : ex. 0,5 % du montant forfaitaire de la mission par jour ouvré de retard / 100 € par jour de retard]</w:t>
      </w:r>
    </w:p>
    <w:p>
      <w:pPr>
        <w:pStyle w:val="ListBullet"/>
      </w:pPr>
      <w:r>
        <w:rPr>
          <w:b/>
        </w:rPr>
        <w:t>Plafond</w:t>
      </w:r>
      <w:r>
        <w:t xml:space="preserve"> : la somme des pénalités est plafonnée à [À COMPLÉTER : ex. 10 % du montant forfaitaire / 2 000 €]</w:t>
      </w:r>
    </w:p>
    <w:p>
      <w:pPr>
        <w:pStyle w:val="ListBullet"/>
      </w:pPr>
      <w:r>
        <w:rPr>
          <w:b/>
        </w:rPr>
        <w:t>Imputation</w:t>
      </w:r>
      <w:r>
        <w:t xml:space="preserve"> : les pénalités sont déduites de la facture finale du Prestataire après émission d'un titre de pénalité par PDLConsulting</w:t>
      </w:r>
    </w:p>
    <w:p/>
    <w:p>
      <w:r>
        <w:t>Les pénalités ne libèrent pas le Prestataire de l'exécution de la mission ; elles sont distinctes de toute action en réparation du préjudice subi par PDLConsulting au-delà du montant des pénalités.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9. Conditions particulières</w:t>
      </w:r>
    </w:p>
    <w:p/>
    <w:p>
      <w:r>
        <w:t>[À COMPLÉTER si applicable, sinon supprimer la section]</w:t>
      </w:r>
    </w:p>
    <w:p/>
    <w:p>
      <w:pPr>
        <w:pStyle w:val="ListBullet"/>
      </w:pPr>
      <w:r>
        <w:t xml:space="preserve">[Ex. : « Le Prestataire accède à la branche </w:t>
      </w:r>
      <w:r>
        <w:rPr>
          <w:rFonts w:ascii="Consolas" w:hAnsi="Consolas"/>
          <w:sz w:val="20"/>
        </w:rPr>
        <w:t>claude/&lt;nom&gt;</w:t>
      </w:r>
      <w:r>
        <w:t xml:space="preserve"> du dépôt et travaille en isolation jusqu'à la PR finale »]</w:t>
      </w:r>
    </w:p>
    <w:p>
      <w:pPr>
        <w:pStyle w:val="ListBullet"/>
      </w:pPr>
      <w:r>
        <w:t>[Ex. : « Aucun accès au VPS OVH ni à la base de données de production n'est autorisé pour cette mission »]</w:t>
      </w:r>
    </w:p>
    <w:p/>
    <w:p>
      <w:pPr>
        <w:pBdr>
          <w:bottom w:val="single" w:sz="6" w:space="1" w:color="999999"/>
        </w:pBdr>
      </w:pPr>
    </w:p>
    <w:p/>
    <w:p>
      <w:pPr>
        <w:pStyle w:val="Heading1"/>
      </w:pPr>
      <w:r>
        <w:t>10. Signatures</w:t>
      </w:r>
    </w:p>
    <w:p/>
    <w:p>
      <w:r>
        <w:t>Fait en deux (2) exemplaires originaux, le [date].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Pour PDLConsulting</w:t>
            </w:r>
          </w:p>
        </w:tc>
        <w:tc>
          <w:tcPr>
            <w:tcW w:type="dxa" w:w="4703"/>
            <w:shd w:fill="D5E8F0" w:val="clear"/>
          </w:tcPr>
          <w:p>
            <w:r>
              <w:rPr>
                <w:b/>
              </w:rPr>
            </w:r>
            <w:r>
              <w:rPr>
                <w:b/>
              </w:rPr>
              <w:t>Pour le Prestataire</w:t>
            </w:r>
          </w:p>
        </w:tc>
      </w:tr>
      <w:tr>
        <w:tc>
          <w:tcPr>
            <w:tcW w:type="dxa" w:w="4703"/>
          </w:tcPr>
          <w:p>
            <w:r/>
            <w:r>
              <w:t>Yvan BOSSER</w:t>
            </w:r>
          </w:p>
        </w:tc>
        <w:tc>
          <w:tcPr>
            <w:tcW w:type="dxa" w:w="4703"/>
          </w:tcPr>
          <w:p>
            <w:r/>
            <w:r>
              <w:t>[NOM Prénom]</w:t>
            </w:r>
          </w:p>
        </w:tc>
      </w:tr>
      <w:tr>
        <w:tc>
          <w:tcPr>
            <w:tcW w:type="dxa" w:w="4703"/>
          </w:tcPr>
          <w:p>
            <w:r/>
            <w:r>
              <w:t>Signature :</w:t>
            </w:r>
          </w:p>
        </w:tc>
        <w:tc>
          <w:tcPr>
            <w:tcW w:type="dxa" w:w="4703"/>
          </w:tcPr>
          <w:p>
            <w:r/>
            <w:r>
              <w:t>Signature :</w:t>
            </w:r>
          </w:p>
        </w:tc>
      </w:tr>
      <w:tr>
        <w:tc>
          <w:tcPr>
            <w:tcW w:type="dxa" w:w="4703"/>
          </w:tcPr>
          <w:p>
            <w:r/>
            <w:r>
              <w:t>Date :</w:t>
            </w:r>
          </w:p>
        </w:tc>
        <w:tc>
          <w:tcPr>
            <w:tcW w:type="dxa" w:w="4703"/>
          </w:tcPr>
          <w:p>
            <w:r/>
            <w:r>
              <w:t>Date :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