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 de Prestation de Services Indépendants</w:t>
      </w:r>
    </w:p>
    <w:p/>
    <w:p>
      <w:pPr>
        <w:ind w:left="340"/>
      </w:pPr>
      <w:r>
        <w:rPr>
          <w:i/>
          <w:color w:val="595959"/>
        </w:rPr>
        <w:t xml:space="preserve">« </w:t>
      </w:r>
      <w:r>
        <w:rPr>
          <w:i/>
          <w:color w:val="595959"/>
        </w:rPr>
        <w:t>[NOTE INTERNE : ce contrat encadre la relation freelance principale. Il intègre les clauses critiques de propriété intellectuelle (article 9) et fait référence à l'accord de confidentialité (NDA) signé séparément.]</w:t>
      </w:r>
      <w:r>
        <w:rPr>
          <w:i/>
        </w:rPr>
        <w:t xml:space="preserve"> »</w:t>
      </w:r>
    </w:p>
    <w:p/>
    <w:p>
      <w:pPr>
        <w:pBdr>
          <w:bottom w:val="single" w:sz="6" w:space="1" w:color="999999"/>
        </w:pBdr>
      </w:pPr>
    </w:p>
    <w:p/>
    <w:p>
      <w:r>
        <w:rPr>
          <w:b/>
        </w:rPr>
        <w:t>Entre les soussignés :</w:t>
      </w:r>
    </w:p>
    <w:p/>
    <w:p>
      <w:r>
        <w:rPr>
          <w:b/>
        </w:rPr>
        <w:t>La société Pied dans l'eau Consulting Ltd</w:t>
      </w:r>
      <w:r>
        <w:t>, société de droit mauricien (Domestic Company), au capital social de [À COMPLÉTER] MUR, dont le siège social est sis 26 avenue Surcouf, Quatre Bornes, République de Maurice, immatriculée au Registre des Sociétés de Maurice sous le numéro [À COMPLÉTER], représentée par Monsieur Yvan BOSSER en qualité de Directeur dûment habilité aux fins des présentes,</w:t>
      </w:r>
    </w:p>
    <w:p/>
    <w:p>
      <w:r>
        <w:t xml:space="preserve">Ci-après dénommée « </w:t>
      </w:r>
      <w:r>
        <w:rPr>
          <w:b/>
        </w:rPr>
        <w:t>PDLConsulting</w:t>
      </w:r>
      <w:r>
        <w:t xml:space="preserve"> » ou le « </w:t>
      </w:r>
      <w:r>
        <w:rPr>
          <w:b/>
        </w:rPr>
        <w:t>Client</w:t>
      </w:r>
      <w:r>
        <w:t xml:space="preserve"> »,</w:t>
      </w:r>
    </w:p>
    <w:p/>
    <w:p>
      <w:r>
        <w:rPr>
          <w:b/>
        </w:rPr>
        <w:t>D'une part,</w:t>
      </w:r>
    </w:p>
    <w:p/>
    <w:p>
      <w:r>
        <w:rPr>
          <w:b/>
        </w:rPr>
        <w:t>Et :</w:t>
      </w:r>
    </w:p>
    <w:p/>
    <w:p>
      <w:r>
        <w:rPr>
          <w:b/>
        </w:rPr>
        <w:t>[NOM PRÉNOM Freelance]</w:t>
      </w:r>
      <w:r>
        <w:t>, [OPTION 1 : entrepreneur individuel, immatriculé au répertoire SIRENE sous le numéro [SIRET], domicilié au [adresse complète], n° de TVA intracommunautaire [si assujetti] [OPTION 2 : la société [Dénomination], [forme sociale], au capital de [montant] €, dont le siège social est sis [adresse], immatriculée au RCS de [ville] sous le numéro [SIREN], n° de TVA intracommunautaire [À COMPLÉTER], représentée par Monsieur/Madame [NOM Prénom] en qualité de [fonction]],</w:t>
      </w:r>
    </w:p>
    <w:p/>
    <w:p>
      <w:r>
        <w:t xml:space="preserve">Ci-après dénommé(e) le « </w:t>
      </w:r>
      <w:r>
        <w:rPr>
          <w:b/>
        </w:rPr>
        <w:t>Prestataire</w:t>
      </w:r>
      <w:r>
        <w:t xml:space="preserve"> »,</w:t>
      </w:r>
    </w:p>
    <w:p/>
    <w:p>
      <w:r>
        <w:rPr>
          <w:b/>
        </w:rPr>
        <w:t>D'autre part,</w:t>
      </w:r>
    </w:p>
    <w:p/>
    <w:p>
      <w:r>
        <w:t xml:space="preserve">Ci-après désignés individuellement la « </w:t>
      </w:r>
      <w:r>
        <w:rPr>
          <w:b/>
        </w:rPr>
        <w:t>Partie</w:t>
      </w:r>
      <w:r>
        <w:t xml:space="preserve"> » et collectivement les « </w:t>
      </w:r>
      <w:r>
        <w:rPr>
          <w:b/>
        </w:rPr>
        <w:t>Parties</w:t>
      </w:r>
      <w:r>
        <w:t xml:space="preserve"> ».</w:t>
      </w:r>
    </w:p>
    <w:p/>
    <w:p>
      <w:pPr>
        <w:pBdr>
          <w:bottom w:val="single" w:sz="6" w:space="1" w:color="999999"/>
        </w:pBdr>
      </w:pPr>
    </w:p>
    <w:p/>
    <w:p>
      <w:pPr>
        <w:pStyle w:val="Heading1"/>
      </w:pPr>
      <w:r>
        <w:t>Préambule</w:t>
      </w:r>
    </w:p>
    <w:p/>
    <w:p>
      <w:r>
        <w:t xml:space="preserve">PDLConsulting édite et exploite la solution logicielle </w:t>
      </w:r>
      <w:r>
        <w:rPr>
          <w:b/>
        </w:rPr>
        <w:t>BoosterMail</w:t>
      </w:r>
      <w:r>
        <w:t>, assistant intelligent intégré à Microsoft Outlook permettant la génération de réponses email adaptées au style de l'utilisateur et au profil de chaque correspondant. Cette solution est commercialisée sous forme de service en ligne (SaaS) à destination de professionnels.</w:t>
      </w:r>
    </w:p>
    <w:p/>
    <w:p>
      <w:r>
        <w:t>Le Prestataire exerce à titre indépendant une activité de [À COMPLÉTER : ex. développement informatique, conception logicielle, ingénierie web]. Il dispose des compétences techniques requises pour intervenir sur le développement, la maintenance et l'évolution de BoosterMail.</w:t>
      </w:r>
    </w:p>
    <w:p/>
    <w:p>
      <w:r>
        <w:t xml:space="preserve">Les Parties ont signé préalablement un </w:t>
      </w:r>
      <w:r>
        <w:rPr>
          <w:b/>
        </w:rPr>
        <w:t>Accord de Confidentialité Bilatéral</w:t>
      </w:r>
      <w:r>
        <w:t xml:space="preserve"> en date du [date NDA], dont les termes demeurent applicables et complètent le présent contrat.</w:t>
      </w:r>
    </w:p>
    <w:p/>
    <w:p>
      <w:r>
        <w:t>C'est dans ces conditions que les Parties se sont rapprochées et ont convenu ce qui suit.</w:t>
      </w:r>
    </w:p>
    <w:p/>
    <w:p>
      <w:pPr>
        <w:pBdr>
          <w:bottom w:val="single" w:sz="6" w:space="1" w:color="999999"/>
        </w:pBdr>
      </w:pPr>
    </w:p>
    <w:p/>
    <w:p>
      <w:pPr>
        <w:pStyle w:val="Heading1"/>
      </w:pPr>
      <w:r>
        <w:t>Article 1 — Objet du contrat</w:t>
      </w:r>
    </w:p>
    <w:p/>
    <w:p>
      <w:r>
        <w:t xml:space="preserve">1.1 Le présent contrat (ci-après le « </w:t>
      </w:r>
      <w:r>
        <w:rPr>
          <w:b/>
        </w:rPr>
        <w:t>Contrat</w:t>
      </w:r>
      <w:r>
        <w:t xml:space="preserve"> ») a pour objet de définir les conditions dans lesquelles le Prestataire fournit à PDLConsulting, à titre indépendant, des prestations de développement logiciel et services associés relatifs à BoosterMail (ci-après les « </w:t>
      </w:r>
      <w:r>
        <w:rPr>
          <w:b/>
        </w:rPr>
        <w:t>Prestations</w:t>
      </w:r>
      <w:r>
        <w:t xml:space="preserve"> »).</w:t>
      </w:r>
    </w:p>
    <w:p/>
    <w:p>
      <w:r>
        <w:t xml:space="preserve">1.2 La nature précise, le périmètre, les livrables, le calendrier et la rémunération de chaque mission spécifique sont définis dans une </w:t>
      </w:r>
      <w:r>
        <w:rPr>
          <w:b/>
        </w:rPr>
        <w:t>Annexe Mission</w:t>
      </w:r>
      <w:r>
        <w:t xml:space="preserve"> signée par les Parties (cf. modèle joint), laquelle fait partie intégrante du présent Contrat.</w:t>
      </w:r>
    </w:p>
    <w:p/>
    <w:p>
      <w:r>
        <w:t>1.3 Sauf stipulation contraire dans une Annexe Mission, les Prestations comprennent typiquement :</w:t>
      </w:r>
    </w:p>
    <w:p/>
    <w:p>
      <w:pPr>
        <w:ind w:left="454"/>
      </w:pPr>
      <w:r>
        <w:rPr>
          <w:b/>
        </w:rPr>
        <w:t xml:space="preserve">a) </w:t>
      </w:r>
      <w:r>
        <w:t>L'analyse de spécifications fonctionnelles et techniques ;</w:t>
      </w:r>
    </w:p>
    <w:p>
      <w:pPr>
        <w:ind w:left="454"/>
      </w:pPr>
      <w:r>
        <w:rPr>
          <w:b/>
        </w:rPr>
        <w:t xml:space="preserve">b) </w:t>
      </w:r>
      <w:r>
        <w:t>Le développement de fonctionnalités nouvelles ou la modification de fonctionnalités existantes (front-end, back-end, intégrations) ;</w:t>
      </w:r>
    </w:p>
    <w:p>
      <w:pPr>
        <w:ind w:left="454"/>
      </w:pPr>
      <w:r>
        <w:rPr>
          <w:b/>
        </w:rPr>
        <w:t xml:space="preserve">c) </w:t>
      </w:r>
      <w:r>
        <w:t>La correction d'anomalies (bugs) ;</w:t>
      </w:r>
    </w:p>
    <w:p>
      <w:pPr>
        <w:ind w:left="454"/>
      </w:pPr>
      <w:r>
        <w:rPr>
          <w:b/>
        </w:rPr>
        <w:t xml:space="preserve">d) </w:t>
      </w:r>
      <w:r>
        <w:t>La rédaction et l'exécution de tests ;</w:t>
      </w:r>
    </w:p>
    <w:p>
      <w:pPr>
        <w:ind w:left="454"/>
      </w:pPr>
      <w:r>
        <w:rPr>
          <w:b/>
        </w:rPr>
        <w:t xml:space="preserve">e) </w:t>
      </w:r>
      <w:r>
        <w:t>La rédaction de documentation technique ;</w:t>
      </w:r>
    </w:p>
    <w:p>
      <w:pPr>
        <w:ind w:left="454"/>
      </w:pPr>
      <w:r>
        <w:rPr>
          <w:b/>
        </w:rPr>
        <w:t xml:space="preserve">f) </w:t>
      </w:r>
      <w:r>
        <w:t>La participation aux revues de code (code reviews) ;</w:t>
      </w:r>
    </w:p>
    <w:p>
      <w:pPr>
        <w:ind w:left="454"/>
      </w:pPr>
      <w:r>
        <w:rPr>
          <w:b/>
        </w:rPr>
        <w:t xml:space="preserve">g) </w:t>
      </w:r>
      <w:r>
        <w:t>La restitution des travaux et le transfert de connaissances.</w:t>
      </w:r>
    </w:p>
    <w:p/>
    <w:p>
      <w:pPr>
        <w:pBdr>
          <w:bottom w:val="single" w:sz="6" w:space="1" w:color="999999"/>
        </w:pBdr>
      </w:pPr>
    </w:p>
    <w:p/>
    <w:p>
      <w:pPr>
        <w:pStyle w:val="Heading1"/>
      </w:pPr>
      <w:r>
        <w:t>Article 2 — Indépendance des Parties</w:t>
      </w:r>
    </w:p>
    <w:p/>
    <w:p>
      <w:r>
        <w:t xml:space="preserve">2.1 Le Prestataire intervient en qualité de prestataire </w:t>
      </w:r>
      <w:r>
        <w:rPr>
          <w:b/>
        </w:rPr>
        <w:t>indépendant</w:t>
      </w:r>
      <w:r>
        <w:t>. Il ne saurait en aucun cas être considéré comme salarié, mandataire social, agent commercial ou représentant de PDLConsulting.</w:t>
      </w:r>
    </w:p>
    <w:p/>
    <w:p>
      <w:r>
        <w:t>2.2 Le Prestataire :</w:t>
      </w:r>
    </w:p>
    <w:p/>
    <w:p>
      <w:pPr>
        <w:ind w:left="454"/>
      </w:pPr>
      <w:r>
        <w:rPr>
          <w:b/>
        </w:rPr>
        <w:t xml:space="preserve">a) </w:t>
      </w:r>
      <w:r>
        <w:t>Conserve la pleine maîtrise de l'organisation de son temps de travail, de ses méthodes et de ses outils, sous réserve du respect des spécifications et des délais convenus dans chaque Annexe Mission ;</w:t>
      </w:r>
    </w:p>
    <w:p>
      <w:pPr>
        <w:ind w:left="454"/>
      </w:pPr>
      <w:r>
        <w:rPr>
          <w:b/>
        </w:rPr>
        <w:t xml:space="preserve">b) </w:t>
      </w:r>
      <w:r>
        <w:t>Fournit son propre matériel et ses propres logiciels nécessaires à l'exécution des Prestations, sauf accord contraire mentionné dans l'Annexe Mission ;</w:t>
      </w:r>
    </w:p>
    <w:p>
      <w:pPr>
        <w:ind w:left="454"/>
      </w:pPr>
      <w:r>
        <w:rPr>
          <w:b/>
        </w:rPr>
        <w:t xml:space="preserve">c) </w:t>
      </w:r>
      <w:r>
        <w:t>N'est soumis à aucun horaire de travail imposé, à aucun lieu de travail imposé (hors réunions ponctuelles), ni à aucune obligation d'exclusivité ;</w:t>
      </w:r>
    </w:p>
    <w:p>
      <w:pPr>
        <w:ind w:left="454"/>
      </w:pPr>
      <w:r>
        <w:rPr>
          <w:b/>
        </w:rPr>
        <w:t xml:space="preserve">d) </w:t>
      </w:r>
      <w:r>
        <w:t>Reste libre d'exercer toute autre activité professionnelle, sous réserve du respect de l'article 11 (non-concurrence) ;</w:t>
      </w:r>
    </w:p>
    <w:p>
      <w:pPr>
        <w:ind w:left="454"/>
      </w:pPr>
      <w:r>
        <w:rPr>
          <w:b/>
        </w:rPr>
        <w:t xml:space="preserve">e) </w:t>
      </w:r>
      <w:r>
        <w:t>Assume seul la responsabilité de ses obligations sociales, fiscales et déclaratives auprès des administrations compétentes.</w:t>
      </w:r>
    </w:p>
    <w:p/>
    <w:p>
      <w:r>
        <w:t>2.3 Le Prestataire garantit qu'il dispose de l'ensemble des autorisations, immatriculations et assurances nécessaires à l'exercice de son activité. Il s'engage à fournir à PDLConsulting, à première demande :</w:t>
      </w:r>
    </w:p>
    <w:p/>
    <w:p>
      <w:pPr>
        <w:ind w:left="454"/>
      </w:pPr>
      <w:r>
        <w:rPr>
          <w:b/>
        </w:rPr>
        <w:t xml:space="preserve">a) </w:t>
      </w:r>
      <w:r>
        <w:t>Tout justificatif d'immatriculation à jour ;</w:t>
      </w:r>
    </w:p>
    <w:p>
      <w:pPr>
        <w:ind w:left="454"/>
      </w:pPr>
      <w:r>
        <w:rPr>
          <w:b/>
        </w:rPr>
        <w:t xml:space="preserve">b) </w:t>
      </w:r>
      <w:r>
        <w:t xml:space="preserve">Une attestation de vigilance URSSAF (ou équivalent étranger) renouvelée au moins tous les </w:t>
      </w:r>
      <w:r>
        <w:rPr>
          <w:b/>
        </w:rPr>
        <w:t>six (6) mois</w:t>
      </w:r>
      <w:r>
        <w:t xml:space="preserve"> ;</w:t>
      </w:r>
    </w:p>
    <w:p>
      <w:pPr>
        <w:ind w:left="454"/>
      </w:pPr>
      <w:r>
        <w:rPr>
          <w:b/>
        </w:rPr>
        <w:t xml:space="preserve">c) </w:t>
      </w:r>
      <w:r>
        <w:t>Une attestation d'assurance Responsabilité Civile Professionnelle en cours de validité.</w:t>
      </w:r>
    </w:p>
    <w:p/>
    <w:p>
      <w:r>
        <w:t>2.4 Le Prestataire s'oblige à informer sans délai PDLConsulting de toute modification affectant son immatriculation, sa situation juridique ou ses assurances, susceptible d'avoir une incidence sur l'exécution du Contrat.</w:t>
      </w:r>
    </w:p>
    <w:p/>
    <w:p>
      <w:pPr>
        <w:pBdr>
          <w:bottom w:val="single" w:sz="6" w:space="1" w:color="999999"/>
        </w:pBdr>
      </w:pPr>
    </w:p>
    <w:p/>
    <w:p>
      <w:pPr>
        <w:pStyle w:val="Heading1"/>
      </w:pPr>
      <w:r>
        <w:t>Article 3 — Durée</w:t>
      </w:r>
    </w:p>
    <w:p/>
    <w:p>
      <w:r>
        <w:t>3.1 Le présent Contrat prend effet à compter de sa signature par la dernière des Parties.</w:t>
      </w:r>
    </w:p>
    <w:p/>
    <w:p>
      <w:r>
        <w:t xml:space="preserve">3.2 [OPTION A — durée indéterminée, recommandée pour collaboration récurrente] Il est conclu pour une durée </w:t>
      </w:r>
      <w:r>
        <w:rPr>
          <w:b/>
        </w:rPr>
        <w:t>indéterminée</w:t>
      </w:r>
      <w:r>
        <w:t>. Chaque Partie peut le résilier à tout moment dans les conditions prévues à l'article 13.</w:t>
      </w:r>
    </w:p>
    <w:p/>
    <w:p>
      <w:r>
        <w:t>3.2 [OPTION B — durée déterminée, pour mission unique bornée] Il est conclu pour une durée déterminée de [X mois / jusqu'au [date]] et prendra fin de plein droit à cette date, sauf renouvellement express et écrit des Parties.</w:t>
      </w:r>
    </w:p>
    <w:p/>
    <w:p>
      <w:r>
        <w:t>3.3 La signature du présent Contrat ne crée aucune obligation pour PDLConsulting de confier des missions au Prestataire ; chaque mission donne lieu à la signature d'une Annexe Mission distincte. Le Prestataire ne peut prétendre à aucune indemnité du fait de l'absence ou de la diminution des missions confiées.</w:t>
      </w:r>
    </w:p>
    <w:p/>
    <w:p>
      <w:pPr>
        <w:pBdr>
          <w:bottom w:val="single" w:sz="6" w:space="1" w:color="999999"/>
        </w:pBdr>
      </w:pPr>
    </w:p>
    <w:p/>
    <w:p>
      <w:pPr>
        <w:pStyle w:val="Heading1"/>
      </w:pPr>
      <w:r>
        <w:t>Article 4 — Modalités d'exécution des Prestations</w:t>
      </w:r>
    </w:p>
    <w:p/>
    <w:p>
      <w:r>
        <w:t xml:space="preserve">4.1 </w:t>
      </w:r>
      <w:r>
        <w:rPr>
          <w:b/>
        </w:rPr>
        <w:t>Spécifications.</w:t>
      </w:r>
      <w:r>
        <w:t xml:space="preserve"> Le Prestataire exécute les Prestations conformément aux spécifications convenues dans l'Annexe Mission applicable, dans le respect des règles de l'art en matière de développement logiciel.</w:t>
      </w:r>
    </w:p>
    <w:p/>
    <w:p>
      <w:r>
        <w:t xml:space="preserve">4.2 </w:t>
      </w:r>
      <w:r>
        <w:rPr>
          <w:b/>
        </w:rPr>
        <w:t>Lieu d'exécution.</w:t>
      </w:r>
      <w:r>
        <w:t xml:space="preserve"> Sauf disposition contraire dans l'Annexe Mission, les Prestations sont exécutées </w:t>
      </w:r>
      <w:r>
        <w:rPr>
          <w:b/>
        </w:rPr>
        <w:t>à distance</w:t>
      </w:r>
      <w:r>
        <w:t>, depuis les locaux du Prestataire ou tout autre lieu de son choix garantissant la sécurité et la confidentialité (à l'exclusion notamment des espaces publics ouverts et des réseaux Wi-Fi non sécurisés).</w:t>
      </w:r>
    </w:p>
    <w:p/>
    <w:p>
      <w:r>
        <w:t xml:space="preserve">4.3 </w:t>
      </w:r>
      <w:r>
        <w:rPr>
          <w:b/>
        </w:rPr>
        <w:t>Outils et environnement.</w:t>
      </w:r>
      <w:r>
        <w:t xml:space="preserve"> Le Prestataire utilise les outils, dépôts de code, environnements et accès mis à sa disposition par PDLConsulting conformément à la </w:t>
      </w:r>
      <w:r>
        <w:rPr>
          <w:b/>
        </w:rPr>
        <w:t>Charte de sécurité informatique</w:t>
      </w:r>
      <w:r>
        <w:t xml:space="preserve"> annexée au présent Contrat (Annexe 4). Il s'interdit d'utiliser des outils ou services tiers non autorisés pour le traitement des Informations Confidentielles ou des données personnelles.</w:t>
      </w:r>
    </w:p>
    <w:p/>
    <w:p>
      <w:r>
        <w:t xml:space="preserve">4.4 </w:t>
      </w:r>
      <w:r>
        <w:rPr>
          <w:b/>
        </w:rPr>
        <w:t>Disponibilité.</w:t>
      </w:r>
      <w:r>
        <w:t xml:space="preserve"> Le Prestataire s'engage à se rendre disponible, dans des plages horaires raisonnables (typiquement 9h-18h CET, jours ouvrés), pour les échanges, réunions de suivi et revues de code nécessaires à la bonne exécution des Prestations.</w:t>
      </w:r>
    </w:p>
    <w:p/>
    <w:p>
      <w:r>
        <w:t xml:space="preserve">4.5 </w:t>
      </w:r>
      <w:r>
        <w:rPr>
          <w:b/>
        </w:rPr>
        <w:t>Sous-traitance.</w:t>
      </w:r>
      <w:r>
        <w:t xml:space="preserve"> Le Prestataire ne peut sous-traiter tout ou partie de l'exécution des Prestations à un tiers sans l'accord écrit et préalable de PDLConsulting. En cas d'autorisation, le Prestataire demeure pleinement responsable des prestations sous-traitées et garantit que le sous-traitant est tenu à des obligations au moins équivalentes à celles du présent Contrat (notamment en matière de confidentialité et de propriété intellectuelle).</w:t>
      </w:r>
    </w:p>
    <w:p/>
    <w:p>
      <w:pPr>
        <w:pBdr>
          <w:bottom w:val="single" w:sz="6" w:space="1" w:color="999999"/>
        </w:pBdr>
      </w:pPr>
    </w:p>
    <w:p/>
    <w:p>
      <w:pPr>
        <w:pStyle w:val="Heading1"/>
      </w:pPr>
      <w:r>
        <w:t>Article 5 — Obligations du Prestataire</w:t>
      </w:r>
    </w:p>
    <w:p/>
    <w:p>
      <w:r>
        <w:t>5.1 Le Prestataire s'engage à :</w:t>
      </w:r>
    </w:p>
    <w:p/>
    <w:p>
      <w:pPr>
        <w:ind w:left="454"/>
      </w:pPr>
      <w:r>
        <w:rPr>
          <w:b/>
        </w:rPr>
        <w:t xml:space="preserve">a) </w:t>
      </w:r>
      <w:r>
        <w:t>Exécuter les Prestations avec diligence, professionnalisme et conformément aux règles de l'art ;</w:t>
      </w:r>
    </w:p>
    <w:p>
      <w:pPr>
        <w:ind w:left="454"/>
      </w:pPr>
      <w:r>
        <w:rPr>
          <w:b/>
        </w:rPr>
        <w:t xml:space="preserve">b) </w:t>
      </w:r>
      <w:r>
        <w:t>Respecter les délais convenus dans chaque Annexe Mission, et alerter sans délai PDLConsulting de tout risque de retard ou d'écart par rapport aux spécifications ;</w:t>
      </w:r>
    </w:p>
    <w:p>
      <w:pPr>
        <w:ind w:left="454"/>
      </w:pPr>
      <w:r>
        <w:rPr>
          <w:b/>
        </w:rPr>
        <w:t xml:space="preserve">c) </w:t>
      </w:r>
      <w:r>
        <w:t>Tenir PDLConsulting informée régulièrement (a minima de manière hebdomadaire, sauf accord contraire) de l'avancement des Prestations ;</w:t>
      </w:r>
    </w:p>
    <w:p>
      <w:pPr>
        <w:ind w:left="454"/>
      </w:pPr>
      <w:r>
        <w:rPr>
          <w:b/>
        </w:rPr>
        <w:t xml:space="preserve">d) </w:t>
      </w:r>
      <w:r>
        <w:t xml:space="preserve">Respecter les standards de qualité, de sécurité et les conventions de codage en vigueur chez PDLConsulting (cf. fichier </w:t>
      </w:r>
      <w:r>
        <w:rPr>
          <w:rFonts w:ascii="Consolas" w:hAnsi="Consolas"/>
          <w:sz w:val="20"/>
        </w:rPr>
        <w:t>CLAUDE.md</w:t>
      </w:r>
      <w:r>
        <w:t xml:space="preserve"> du dépôt et documentation associée) ;</w:t>
      </w:r>
    </w:p>
    <w:p>
      <w:pPr>
        <w:ind w:left="454"/>
      </w:pPr>
      <w:r>
        <w:rPr>
          <w:b/>
        </w:rPr>
        <w:t xml:space="preserve">e) </w:t>
      </w:r>
      <w:r>
        <w:t>Tester son code avant livraison et garantir un niveau de qualité compatible avec une mise en production ;</w:t>
      </w:r>
    </w:p>
    <w:p>
      <w:pPr>
        <w:ind w:left="454"/>
      </w:pPr>
      <w:r>
        <w:rPr>
          <w:b/>
        </w:rPr>
        <w:t xml:space="preserve">f) </w:t>
      </w:r>
      <w:r>
        <w:t>Documenter ses développements de manière à permettre leur reprise par un tiers ;</w:t>
      </w:r>
    </w:p>
    <w:p>
      <w:pPr>
        <w:ind w:left="454"/>
      </w:pPr>
      <w:r>
        <w:rPr>
          <w:b/>
        </w:rPr>
        <w:t xml:space="preserve">g) </w:t>
      </w:r>
      <w:r>
        <w:t>Participer aux revues de code et accepter les retours formulés par PDLConsulting ;</w:t>
      </w:r>
    </w:p>
    <w:p>
      <w:pPr>
        <w:ind w:left="454"/>
      </w:pPr>
      <w:r>
        <w:rPr>
          <w:b/>
        </w:rPr>
        <w:t xml:space="preserve">h) </w:t>
      </w:r>
      <w:r>
        <w:t xml:space="preserve">Respecter les règles de la </w:t>
      </w:r>
      <w:r>
        <w:rPr>
          <w:b/>
        </w:rPr>
        <w:t>Charte de sécurité informatique</w:t>
      </w:r>
      <w:r>
        <w:t xml:space="preserve"> (Annexe 4) ;</w:t>
      </w:r>
    </w:p>
    <w:p>
      <w:pPr>
        <w:ind w:left="454"/>
      </w:pPr>
      <w:r>
        <w:rPr>
          <w:b/>
        </w:rPr>
        <w:t xml:space="preserve">i) </w:t>
      </w:r>
      <w:r>
        <w:t>Respecter les obligations de confidentialité résultant du NDA signé séparément.</w:t>
      </w:r>
    </w:p>
    <w:p/>
    <w:p>
      <w:r>
        <w:t xml:space="preserve">5.2 </w:t>
      </w:r>
      <w:r>
        <w:rPr>
          <w:b/>
        </w:rPr>
        <w:t>Obligation de moyens / résultat.</w:t>
      </w:r>
      <w:r>
        <w:t xml:space="preserve"> Sauf stipulation contraire expresse dans une Annexe Mission, le Prestataire est tenu d'une obligation de moyens. Toutefois, lorsqu'une Annexe Mission définit un livrable précis avec des critères d'acceptation objectifs, le Prestataire est tenu d'une obligation de résultat sur ce livrable.</w:t>
      </w:r>
    </w:p>
    <w:p/>
    <w:p>
      <w:pPr>
        <w:pBdr>
          <w:bottom w:val="single" w:sz="6" w:space="1" w:color="999999"/>
        </w:pBdr>
      </w:pPr>
    </w:p>
    <w:p/>
    <w:p>
      <w:pPr>
        <w:pStyle w:val="Heading1"/>
      </w:pPr>
      <w:r>
        <w:t>Article 6 — Obligations de PDLConsulting</w:t>
      </w:r>
    </w:p>
    <w:p/>
    <w:p>
      <w:r>
        <w:t>6.1 PDLConsulting s'engage à :</w:t>
      </w:r>
    </w:p>
    <w:p/>
    <w:p>
      <w:pPr>
        <w:ind w:left="454"/>
      </w:pPr>
      <w:r>
        <w:rPr>
          <w:b/>
        </w:rPr>
        <w:t xml:space="preserve">a) </w:t>
      </w:r>
      <w:r>
        <w:t>Fournir au Prestataire les informations, accès, documentations et ressources nécessaires à l'exécution des Prestations dans des délais raisonnables ;</w:t>
      </w:r>
    </w:p>
    <w:p>
      <w:pPr>
        <w:ind w:left="454"/>
      </w:pPr>
      <w:r>
        <w:rPr>
          <w:b/>
        </w:rPr>
        <w:t xml:space="preserve">b) </w:t>
      </w:r>
      <w:r>
        <w:t>Désigner un interlocuteur unique en charge du suivi de la collaboration ;</w:t>
      </w:r>
    </w:p>
    <w:p>
      <w:pPr>
        <w:ind w:left="454"/>
      </w:pPr>
      <w:r>
        <w:rPr>
          <w:b/>
        </w:rPr>
        <w:t xml:space="preserve">c) </w:t>
      </w:r>
      <w:r>
        <w:t>Procéder à la recette des livrables dans les délais convenus dans chaque Annexe Mission ;</w:t>
      </w:r>
    </w:p>
    <w:p>
      <w:pPr>
        <w:ind w:left="454"/>
      </w:pPr>
      <w:r>
        <w:rPr>
          <w:b/>
        </w:rPr>
        <w:t xml:space="preserve">d) </w:t>
      </w:r>
      <w:r>
        <w:t>Régler les factures du Prestataire dans les conditions prévues à l'article 8.</w:t>
      </w:r>
    </w:p>
    <w:p/>
    <w:p>
      <w:pPr>
        <w:pBdr>
          <w:bottom w:val="single" w:sz="6" w:space="1" w:color="999999"/>
        </w:pBdr>
      </w:pPr>
    </w:p>
    <w:p/>
    <w:p>
      <w:pPr>
        <w:pStyle w:val="Heading1"/>
      </w:pPr>
      <w:r>
        <w:t>Article 7 — Recette des livrables</w:t>
      </w:r>
    </w:p>
    <w:p/>
    <w:p>
      <w:r>
        <w:t>7.1 Chaque livrable mentionné dans une Annexe Mission fait l'objet d'une procédure de recette par PDLConsulting.</w:t>
      </w:r>
    </w:p>
    <w:p/>
    <w:p>
      <w:r>
        <w:t xml:space="preserve">7.2 PDLConsulting dispose d'un délai de </w:t>
      </w:r>
      <w:r>
        <w:rPr>
          <w:b/>
        </w:rPr>
        <w:t>dix (10) jours ouvrés</w:t>
      </w:r>
      <w:r>
        <w:t xml:space="preserve"> à compter de la livraison effective pour vérifier la conformité du livrable aux spécifications convenues.</w:t>
      </w:r>
    </w:p>
    <w:p/>
    <w:p>
      <w:r>
        <w:t>7.3 Au terme de ce délai :</w:t>
      </w:r>
    </w:p>
    <w:p/>
    <w:p>
      <w:pPr>
        <w:ind w:left="454"/>
      </w:pPr>
      <w:r>
        <w:rPr>
          <w:b/>
        </w:rPr>
        <w:t xml:space="preserve">a) </w:t>
      </w:r>
      <w:r>
        <w:t xml:space="preserve">Soit PDLConsulting prononce la </w:t>
      </w:r>
      <w:r>
        <w:rPr>
          <w:b/>
        </w:rPr>
        <w:t>recette</w:t>
      </w:r>
      <w:r>
        <w:t xml:space="preserve"> du livrable, expressément ou tacitement (à défaut de réserves notifiées dans le délai) ;</w:t>
      </w:r>
    </w:p>
    <w:p>
      <w:pPr>
        <w:ind w:left="454"/>
      </w:pPr>
      <w:r>
        <w:rPr>
          <w:b/>
        </w:rPr>
        <w:t xml:space="preserve">b) </w:t>
      </w:r>
      <w:r>
        <w:t xml:space="preserve">Soit PDLConsulting notifie au Prestataire des </w:t>
      </w:r>
      <w:r>
        <w:rPr>
          <w:b/>
        </w:rPr>
        <w:t>réserves</w:t>
      </w:r>
      <w:r>
        <w:t xml:space="preserve"> dûment motivées, lequel dispose alors d'un délai de </w:t>
      </w:r>
      <w:r>
        <w:rPr>
          <w:b/>
        </w:rPr>
        <w:t>dix (10) jours ouvrés</w:t>
      </w:r>
      <w:r>
        <w:t xml:space="preserve"> pour effectuer les corrections nécessaires sans facturation supplémentaire ;</w:t>
      </w:r>
    </w:p>
    <w:p>
      <w:pPr>
        <w:ind w:left="454"/>
      </w:pPr>
      <w:r>
        <w:rPr>
          <w:b/>
        </w:rPr>
        <w:t xml:space="preserve">c) </w:t>
      </w:r>
      <w:r>
        <w:t>Le cycle de recette peut être réitéré une fois ; en cas de persistance des non-conformités après le second cycle, PDLConsulting peut, à son choix : (i) faire exécuter les corrections par un tiers aux frais du Prestataire, (ii) résilier le Contrat dans les conditions de l'article 13, ou (iii) accepter le livrable avec une réfaction de prix proportionnée.</w:t>
      </w:r>
    </w:p>
    <w:p/>
    <w:p>
      <w:r>
        <w:t>7.4 Les bugs mineurs n'empêchant pas l'usage normal du livrable n'ouvrent pas droit à un refus de recette mais font l'objet d'une correction dans les conditions du suivi opérationnel.</w:t>
      </w:r>
    </w:p>
    <w:p/>
    <w:p>
      <w:pPr>
        <w:pBdr>
          <w:bottom w:val="single" w:sz="6" w:space="1" w:color="999999"/>
        </w:pBdr>
      </w:pPr>
    </w:p>
    <w:p/>
    <w:p>
      <w:pPr>
        <w:pStyle w:val="Heading1"/>
      </w:pPr>
      <w:r>
        <w:t>Article 8 — Rémunération et facturation</w:t>
      </w:r>
    </w:p>
    <w:p/>
    <w:p>
      <w:r>
        <w:t xml:space="preserve">8.1 </w:t>
      </w:r>
      <w:r>
        <w:rPr>
          <w:b/>
        </w:rPr>
        <w:t>Mode de rémunération.</w:t>
      </w:r>
      <w:r>
        <w:t xml:space="preserve"> [À COMPLÉTER selon choix : OPTION A — Taux journalier moyen (TJM) de [montant] € HT par jour travaillé / OPTION B — Forfait par mission, défini dans chaque Annexe Mission / OPTION C — Forfait mensuel de [montant] € HT pour [X] jours par mois]</w:t>
      </w:r>
    </w:p>
    <w:p/>
    <w:p>
      <w:r>
        <w:t xml:space="preserve">8.2 </w:t>
      </w:r>
      <w:r>
        <w:rPr>
          <w:b/>
        </w:rPr>
        <w:t>Devise.</w:t>
      </w:r>
      <w:r>
        <w:t xml:space="preserve"> Les paiements sont effectués en </w:t>
      </w:r>
      <w:r>
        <w:rPr>
          <w:b/>
        </w:rPr>
        <w:t>euros (€)</w:t>
      </w:r>
      <w:r>
        <w:t>, par virement bancaire sur le compte communiqué par le Prestataire (RIB joint).</w:t>
      </w:r>
    </w:p>
    <w:p/>
    <w:p>
      <w:r>
        <w:t xml:space="preserve">8.3 </w:t>
      </w:r>
      <w:r>
        <w:rPr>
          <w:b/>
        </w:rPr>
        <w:t>TVA.</w:t>
      </w:r>
      <w:r>
        <w:t xml:space="preserve"> [Si Prestataire assujetti à la TVA française : « Les montants sont exprimés hors taxes ; la TVA française au taux en vigueur est applicable selon le régime de l'autoliquidation pour le preneur étranger établi hors UE, conformément à l'article 283-2 du CGI. Le Prestataire émettra ses factures sans TVA, en mentionnant : ‹ Autoliquidation - Article 283 du CGI ›. »] [Si Prestataire en franchise en base de TVA (auto-entrepreneur) : « Les montants sont exprimés en euros, le Prestataire bénéficiant de la franchise en base de TVA prévue à l'article 293 B du CGI ; mention obligatoire ‹ TVA non applicable, art. 293 B du CGI › sur chaque facture. »]</w:t>
      </w:r>
    </w:p>
    <w:p/>
    <w:p>
      <w:r>
        <w:t xml:space="preserve">8.4 </w:t>
      </w:r>
      <w:r>
        <w:rPr>
          <w:b/>
        </w:rPr>
        <w:t>Modalités de facturation.</w:t>
      </w:r>
    </w:p>
    <w:p/>
    <w:p>
      <w:pPr>
        <w:ind w:left="454"/>
      </w:pPr>
      <w:r>
        <w:rPr>
          <w:b/>
        </w:rPr>
        <w:t xml:space="preserve">a) </w:t>
      </w:r>
      <w:r>
        <w:t xml:space="preserve">Le Prestataire émet ses factures </w:t>
      </w:r>
      <w:r>
        <w:rPr>
          <w:b/>
        </w:rPr>
        <w:t>mensuellement à terme échu</w:t>
      </w:r>
      <w:r>
        <w:t>, au plus tard le [À COMPLÉTER : ex. cinquième jour ouvré du mois suivant] ;</w:t>
      </w:r>
    </w:p>
    <w:p>
      <w:pPr>
        <w:ind w:left="454"/>
      </w:pPr>
      <w:r>
        <w:rPr>
          <w:b/>
        </w:rPr>
        <w:t xml:space="preserve">b) </w:t>
      </w:r>
      <w:r>
        <w:t>Les factures sont adressées par voie électronique à : [À COMPLÉTER : ex. invoicing@boostermail.ai] ;</w:t>
      </w:r>
    </w:p>
    <w:p>
      <w:pPr>
        <w:ind w:left="454"/>
      </w:pPr>
      <w:r>
        <w:rPr>
          <w:b/>
        </w:rPr>
        <w:t xml:space="preserve">c) </w:t>
      </w:r>
      <w:r>
        <w:t>Chaque facture mentionne, outre les mentions légales obligatoires : la référence du Contrat, la référence de l'Annexe Mission concernée, le détail des prestations facturées (jours, livrables) et le mois de référence ;</w:t>
      </w:r>
    </w:p>
    <w:p>
      <w:pPr>
        <w:ind w:left="454"/>
      </w:pPr>
      <w:r>
        <w:rPr>
          <w:b/>
        </w:rPr>
        <w:t xml:space="preserve">d) </w:t>
      </w:r>
      <w:r>
        <w:t xml:space="preserve">En cas de TJM, un </w:t>
      </w:r>
      <w:r>
        <w:rPr>
          <w:b/>
        </w:rPr>
        <w:t>compte rendu d'activité</w:t>
      </w:r>
      <w:r>
        <w:t xml:space="preserve"> (CRA) détaillé est joint à chaque facture, listant les jours travaillés et les missions associées.</w:t>
      </w:r>
    </w:p>
    <w:p/>
    <w:p>
      <w:r>
        <w:t xml:space="preserve">8.5 </w:t>
      </w:r>
      <w:r>
        <w:rPr>
          <w:b/>
        </w:rPr>
        <w:t>Délais de paiement.</w:t>
      </w:r>
      <w:r>
        <w:t xml:space="preserve"> Les factures sont payables par virement bancaire à </w:t>
      </w:r>
      <w:r>
        <w:rPr>
          <w:b/>
        </w:rPr>
        <w:t>trente (30) jours date de facture</w:t>
      </w:r>
      <w:r>
        <w:t>, conformément à l'article L. 441-10 du Code de commerce.</w:t>
      </w:r>
    </w:p>
    <w:p/>
    <w:p>
      <w:r>
        <w:t xml:space="preserve">8.6 </w:t>
      </w:r>
      <w:r>
        <w:rPr>
          <w:b/>
        </w:rPr>
        <w:t>Pénalités de retard.</w:t>
      </w:r>
      <w:r>
        <w:t xml:space="preserve"> En cas de retard de paiement, le Prestataire est en droit, sans formalité préalable, d'appliquer des pénalités de retard au taux d'intérêt de la BCE majoré de </w:t>
      </w:r>
      <w:r>
        <w:rPr>
          <w:b/>
        </w:rPr>
        <w:t>dix (10) points de pourcentage</w:t>
      </w:r>
      <w:r>
        <w:t xml:space="preserve">, ainsi qu'une indemnité forfaitaire pour frais de recouvrement de </w:t>
      </w:r>
      <w:r>
        <w:rPr>
          <w:b/>
        </w:rPr>
        <w:t>40 €</w:t>
      </w:r>
      <w:r>
        <w:t>.</w:t>
      </w:r>
    </w:p>
    <w:p/>
    <w:p>
      <w:r>
        <w:t xml:space="preserve">8.7 </w:t>
      </w:r>
      <w:r>
        <w:rPr>
          <w:b/>
        </w:rPr>
        <w:t>Cas de suspension.</w:t>
      </w:r>
      <w:r>
        <w:t xml:space="preserve"> Le Prestataire est autorisé à suspendre l'exécution des Prestations en cas de retard de paiement supérieur à </w:t>
      </w:r>
      <w:r>
        <w:rPr>
          <w:b/>
        </w:rPr>
        <w:t>trente (30) jours</w:t>
      </w:r>
      <w:r>
        <w:t xml:space="preserve"> après mise en demeure restée infructueuse, sans que cette suspension puisse être considérée comme une résiliation du Contrat.</w:t>
      </w:r>
    </w:p>
    <w:p/>
    <w:p>
      <w:pPr>
        <w:pBdr>
          <w:bottom w:val="single" w:sz="6" w:space="1" w:color="999999"/>
        </w:pBdr>
      </w:pPr>
    </w:p>
    <w:p/>
    <w:p>
      <w:pPr>
        <w:pStyle w:val="Heading1"/>
      </w:pPr>
      <w:r>
        <w:t>Article 9 — Propriété intellectuelle</w:t>
      </w:r>
    </w:p>
    <w:p/>
    <w:p>
      <w:pPr>
        <w:ind w:left="340"/>
      </w:pPr>
      <w:r>
        <w:rPr>
          <w:i/>
          <w:color w:val="595959"/>
        </w:rPr>
        <w:t xml:space="preserve">« </w:t>
      </w:r>
      <w:r>
        <w:rPr>
          <w:b/>
          <w:i/>
          <w:color w:val="595959"/>
        </w:rPr>
        <w:t>CLAUSE CRITIQUE — À FAIRE VALIDER PAR UN AVOCAT</w:t>
      </w:r>
      <w:r>
        <w:rPr>
          <w:i/>
        </w:rPr>
        <w:t xml:space="preserve"> »</w:t>
      </w:r>
    </w:p>
    <w:p>
      <w:pPr>
        <w:ind w:left="340"/>
      </w:pPr>
      <w:r>
        <w:rPr>
          <w:i/>
          <w:color w:val="595959"/>
        </w:rPr>
        <w:t xml:space="preserve">« </w:t>
      </w:r>
      <w:r>
        <w:rPr>
          <w:i/>
          <w:color w:val="595959"/>
        </w:rPr>
        <w:t>[NOTE INTERNE : cette clause est rédigée dans le respect des exigences de l'article L. 131-3 du Code de la propriété intellectuelle français qui impose une mention distincte de chaque droit cédé, du domaine d'exploitation, du lieu et de la durée. Une rédaction insuffisante peut entraîner la nullité de la cession.]</w:t>
      </w:r>
      <w:r>
        <w:rPr>
          <w:i/>
        </w:rPr>
        <w:t xml:space="preserve"> »</w:t>
      </w:r>
    </w:p>
    <w:p/>
    <w:p>
      <w:r>
        <w:t xml:space="preserve">9.1 </w:t>
      </w:r>
      <w:r>
        <w:rPr>
          <w:b/>
        </w:rPr>
        <w:t>Définition.</w:t>
      </w:r>
      <w:r>
        <w:t xml:space="preserve"> Sont qualifiées d'« </w:t>
      </w:r>
      <w:r>
        <w:rPr>
          <w:b/>
        </w:rPr>
        <w:t>Œuvres</w:t>
      </w:r>
      <w:r>
        <w:t xml:space="preserve"> », au sens du présent article, l'ensemble des créations intellectuelles, originales ou non, réalisées par le Prestataire dans le cadre ou à l'occasion des Prestations, notamment :</w:t>
      </w:r>
    </w:p>
    <w:p/>
    <w:p>
      <w:pPr>
        <w:ind w:left="454"/>
      </w:pPr>
      <w:r>
        <w:rPr>
          <w:b/>
        </w:rPr>
        <w:t xml:space="preserve">a) </w:t>
      </w:r>
      <w:r>
        <w:t>Les codes sources, codes objets, scripts, configurations, schémas de bases de données ;</w:t>
      </w:r>
    </w:p>
    <w:p>
      <w:pPr>
        <w:ind w:left="454"/>
      </w:pPr>
      <w:r>
        <w:rPr>
          <w:b/>
        </w:rPr>
        <w:t xml:space="preserve">b) </w:t>
      </w:r>
      <w:r>
        <w:t>Les algorithmes, méthodes, modèles de prompts, paramétrages d'IA ;</w:t>
      </w:r>
    </w:p>
    <w:p>
      <w:pPr>
        <w:ind w:left="454"/>
      </w:pPr>
      <w:r>
        <w:rPr>
          <w:b/>
        </w:rPr>
        <w:t xml:space="preserve">c) </w:t>
      </w:r>
      <w:r>
        <w:t>Les documents de spécifications, rapports techniques, documentations utilisateur ;</w:t>
      </w:r>
    </w:p>
    <w:p>
      <w:pPr>
        <w:ind w:left="454"/>
      </w:pPr>
      <w:r>
        <w:rPr>
          <w:b/>
        </w:rPr>
        <w:t xml:space="preserve">d) </w:t>
      </w:r>
      <w:r>
        <w:t>Les éléments graphiques (interfaces, icônes, maquettes, logos) ;</w:t>
      </w:r>
    </w:p>
    <w:p>
      <w:pPr>
        <w:ind w:left="454"/>
      </w:pPr>
      <w:r>
        <w:rPr>
          <w:b/>
        </w:rPr>
        <w:t xml:space="preserve">e) </w:t>
      </w:r>
      <w:r>
        <w:t>Les contenus textuels rédigés pour le compte de PDLConsulting ;</w:t>
      </w:r>
    </w:p>
    <w:p>
      <w:pPr>
        <w:ind w:left="454"/>
      </w:pPr>
      <w:r>
        <w:rPr>
          <w:b/>
        </w:rPr>
        <w:t xml:space="preserve">f) </w:t>
      </w:r>
      <w:r>
        <w:t>Toute autre création susceptible de protection au titre de la propriété intellectuelle.</w:t>
      </w:r>
    </w:p>
    <w:p/>
    <w:p>
      <w:r>
        <w:t xml:space="preserve">9.2 </w:t>
      </w:r>
      <w:r>
        <w:rPr>
          <w:b/>
        </w:rPr>
        <w:t>Cession exclusive et définitive.</w:t>
      </w:r>
      <w:r>
        <w:t xml:space="preserve"> Le Prestataire </w:t>
      </w:r>
      <w:r>
        <w:rPr>
          <w:b/>
        </w:rPr>
        <w:t>cède à PDLConsulting</w:t>
      </w:r>
      <w:r>
        <w:t xml:space="preserve">, </w:t>
      </w:r>
      <w:r>
        <w:rPr>
          <w:b/>
        </w:rPr>
        <w:t>à titre exclusif et définitif</w:t>
      </w:r>
      <w:r>
        <w:t>, à compter du paiement intégral de chaque facture afférente aux Prestations correspondantes, l'ensemble des droits de propriété intellectuelle attachés aux Œuvres, et ce :</w:t>
      </w:r>
    </w:p>
    <w:p/>
    <w:p>
      <w:pPr>
        <w:ind w:left="454"/>
      </w:pPr>
      <w:r>
        <w:rPr>
          <w:b/>
        </w:rPr>
        <w:t xml:space="preserve">a) </w:t>
      </w:r>
      <w:r>
        <w:rPr>
          <w:b/>
        </w:rPr>
        <w:t>Droits cédés</w:t>
      </w:r>
      <w:r>
        <w:t xml:space="preserve"> : droit de reproduction, droit de représentation, droit d'adaptation, droit de modification, droit de traduction, droit d'incorporation dans tout autre œuvre, droit de distribution, droit de commercialisation, droit de sous-licencier, droit de céder à un tiers ;</w:t>
      </w:r>
    </w:p>
    <w:p/>
    <w:p>
      <w:pPr>
        <w:ind w:left="454"/>
      </w:pPr>
      <w:r>
        <w:rPr>
          <w:b/>
        </w:rPr>
        <w:t xml:space="preserve">b) </w:t>
      </w:r>
      <w:r>
        <w:rPr>
          <w:b/>
        </w:rPr>
        <w:t>Tous supports</w:t>
      </w:r>
      <w:r>
        <w:t xml:space="preserve"> : tout support et tout format actuel ou futur, connu ou inconnu à ce jour, notamment numérique, électronique, optique, papier, et sur tous réseaux de communication électronique ;</w:t>
      </w:r>
    </w:p>
    <w:p/>
    <w:p>
      <w:pPr>
        <w:ind w:left="454"/>
      </w:pPr>
      <w:r>
        <w:rPr>
          <w:b/>
        </w:rPr>
        <w:t xml:space="preserve">c) </w:t>
      </w:r>
      <w:r>
        <w:rPr>
          <w:b/>
        </w:rPr>
        <w:t>Toutes destinations</w:t>
      </w:r>
      <w:r>
        <w:t xml:space="preserve"> : toutes destinations, à titre gratuit ou onéreux, notamment commerciale, publicitaire, promotionnelle, à l'exclusion d'aucune ;</w:t>
      </w:r>
    </w:p>
    <w:p/>
    <w:p>
      <w:pPr>
        <w:ind w:left="454"/>
      </w:pPr>
      <w:r>
        <w:rPr>
          <w:b/>
        </w:rPr>
        <w:t xml:space="preserve">d) </w:t>
      </w:r>
      <w:r>
        <w:rPr>
          <w:b/>
        </w:rPr>
        <w:t>Territoire</w:t>
      </w:r>
      <w:r>
        <w:t xml:space="preserve"> : pour le </w:t>
      </w:r>
      <w:r>
        <w:rPr>
          <w:b/>
        </w:rPr>
        <w:t>monde entier</w:t>
      </w:r>
      <w:r>
        <w:t xml:space="preserve"> ;</w:t>
      </w:r>
    </w:p>
    <w:p/>
    <w:p>
      <w:pPr>
        <w:ind w:left="454"/>
      </w:pPr>
      <w:r>
        <w:rPr>
          <w:b/>
        </w:rPr>
        <w:t xml:space="preserve">e) </w:t>
      </w:r>
      <w:r>
        <w:rPr>
          <w:b/>
        </w:rPr>
        <w:t>Durée</w:t>
      </w:r>
      <w:r>
        <w:t xml:space="preserve"> : pour toute la </w:t>
      </w:r>
      <w:r>
        <w:rPr>
          <w:b/>
        </w:rPr>
        <w:t>durée légale de protection</w:t>
      </w:r>
      <w:r>
        <w:t xml:space="preserve"> des droits de propriété intellectuelle, telle qu'elle résulte des législations applicables, en ce compris ses prorogations et renouvellements éventuels.</w:t>
      </w:r>
    </w:p>
    <w:p/>
    <w:p>
      <w:r>
        <w:t xml:space="preserve">9.3 </w:t>
      </w:r>
      <w:r>
        <w:rPr>
          <w:b/>
        </w:rPr>
        <w:t>Œuvres préexistantes.</w:t>
      </w:r>
      <w:r>
        <w:t xml:space="preserve"> Si le Prestataire intègre dans une Œuvre des éléments préexistants dont il est titulaire des droits (bibliothèques personnelles, code antérieur), il en informe expressément PDLConsulting et lui concède une </w:t>
      </w:r>
      <w:r>
        <w:rPr>
          <w:b/>
        </w:rPr>
        <w:t>licence d'utilisation perpétuelle, mondiale, non exclusive, transférable et entièrement libérée de redevances</w:t>
      </w:r>
      <w:r>
        <w:t xml:space="preserve"> sur ces éléments, dans la mesure nécessaire à l'exploitation pleine et entière des Œuvres.</w:t>
      </w:r>
    </w:p>
    <w:p/>
    <w:p>
      <w:r>
        <w:t xml:space="preserve">9.4 </w:t>
      </w:r>
      <w:r>
        <w:rPr>
          <w:b/>
        </w:rPr>
        <w:t>Composants tiers.</w:t>
      </w:r>
      <w:r>
        <w:t xml:space="preserve"> Le Prestataire s'interdit d'incorporer dans les Œuvres des composants tiers (notamment des bibliothèques open source) dont la licence imposerait à PDLConsulting des obligations contraires à ses intérêts (en particulier les licences dites « copyleft » de type GPL, AGPL, qui imposeraient à PDLConsulting de divulguer son code source). Le Prestataire utilise uniquement des composants sous licences permissives (MIT, BSD, Apache 2.0) ou compatibles avec une exploitation commerciale propriétaire. En cas de doute, l'accord écrit préalable de PDLConsulting est requis.</w:t>
      </w:r>
    </w:p>
    <w:p/>
    <w:p>
      <w:r>
        <w:t xml:space="preserve">9.5 </w:t>
      </w:r>
      <w:r>
        <w:rPr>
          <w:b/>
        </w:rPr>
        <w:t>Garantie d'éviction.</w:t>
      </w:r>
      <w:r>
        <w:t xml:space="preserve"> Le Prestataire garantit PDLConsulting contre toute action en revendication de droits de propriété intellectuelle qui serait formée par des tiers à l'encontre des Œuvres. À ce titre, le Prestataire :</w:t>
      </w:r>
    </w:p>
    <w:p/>
    <w:p>
      <w:pPr>
        <w:ind w:left="454"/>
      </w:pPr>
      <w:r>
        <w:rPr>
          <w:b/>
        </w:rPr>
        <w:t xml:space="preserve">a) </w:t>
      </w:r>
      <w:r>
        <w:t>Garantit l'originalité des Œuvres et déclare qu'elles ne portent pas atteinte aux droits de tiers ;</w:t>
      </w:r>
    </w:p>
    <w:p>
      <w:pPr>
        <w:ind w:left="454"/>
      </w:pPr>
      <w:r>
        <w:rPr>
          <w:b/>
        </w:rPr>
        <w:t xml:space="preserve">b) </w:t>
      </w:r>
      <w:r>
        <w:t>S'engage à indemniser PDLConsulting de toutes condamnations, frais et honoraires (notamment d'avocat) qu'elle aurait à supporter du fait d'une telle action ;</w:t>
      </w:r>
    </w:p>
    <w:p>
      <w:pPr>
        <w:ind w:left="454"/>
      </w:pPr>
      <w:r>
        <w:rPr>
          <w:b/>
        </w:rPr>
        <w:t xml:space="preserve">c) </w:t>
      </w:r>
      <w:r>
        <w:t>S'engage à intervenir à toute procédure et à fournir toute assistance nécessaire à la défense de PDLConsulting.</w:t>
      </w:r>
    </w:p>
    <w:p/>
    <w:p>
      <w:r>
        <w:t xml:space="preserve">9.6 </w:t>
      </w:r>
      <w:r>
        <w:rPr>
          <w:b/>
        </w:rPr>
        <w:t>Droits moraux.</w:t>
      </w:r>
      <w:r>
        <w:t xml:space="preserve"> Conformément à l'article L. 121-1 du Code de la propriété intellectuelle, le Prestataire conserve ses droits moraux. Toutefois, dans la mesure permise par la loi, le Prestataire :</w:t>
      </w:r>
    </w:p>
    <w:p/>
    <w:p>
      <w:pPr>
        <w:ind w:left="454"/>
      </w:pPr>
      <w:r>
        <w:rPr>
          <w:b/>
        </w:rPr>
        <w:t xml:space="preserve">a) </w:t>
      </w:r>
      <w:r>
        <w:t>Renonce à exiger la mention de son nom sur les Œuvres et leurs exploitations ;</w:t>
      </w:r>
    </w:p>
    <w:p>
      <w:pPr>
        <w:ind w:left="454"/>
      </w:pPr>
      <w:r>
        <w:rPr>
          <w:b/>
        </w:rPr>
        <w:t xml:space="preserve">b) </w:t>
      </w:r>
      <w:r>
        <w:t>Autorise PDLConsulting à modifier librement les Œuvres, à les adapter, les corriger, les compléter, à condition que ces modifications ne portent pas atteinte à son honneur ou à sa réputation.</w:t>
      </w:r>
    </w:p>
    <w:p/>
    <w:p>
      <w:r>
        <w:t xml:space="preserve">9.7 </w:t>
      </w:r>
      <w:r>
        <w:rPr>
          <w:b/>
        </w:rPr>
        <w:t>Travaux antérieurs et personnels.</w:t>
      </w:r>
      <w:r>
        <w:t xml:space="preserve"> Les travaux que le Prestataire réalise en dehors et indépendamment des Prestations demeurent sa pleine propriété. Toutefois, en cas de chevauchement entre des travaux personnels et les Prestations, la cession prévue au présent article s'applique à toute fraction des travaux intégrée dans les Œuvres ou utilisée pour leur création.</w:t>
      </w:r>
    </w:p>
    <w:p/>
    <w:p>
      <w:pPr>
        <w:pBdr>
          <w:bottom w:val="single" w:sz="6" w:space="1" w:color="999999"/>
        </w:pBdr>
      </w:pPr>
    </w:p>
    <w:p/>
    <w:p>
      <w:pPr>
        <w:pStyle w:val="Heading1"/>
      </w:pPr>
      <w:r>
        <w:t>Article 10 — Confidentialité</w:t>
      </w:r>
    </w:p>
    <w:p/>
    <w:p>
      <w:r>
        <w:t>10.1 Les obligations de confidentialité du Prestataire sont régies par l'</w:t>
      </w:r>
      <w:r>
        <w:rPr>
          <w:b/>
        </w:rPr>
        <w:t>Accord de Confidentialité Bilatéral</w:t>
      </w:r>
      <w:r>
        <w:t xml:space="preserve"> signé entre les Parties préalablement au présent Contrat, dont les termes demeurent intégralement applicables et complètent le présent Contrat.</w:t>
      </w:r>
    </w:p>
    <w:p/>
    <w:p>
      <w:r>
        <w:t>10.2 Sans préjudice des obligations résultant dudit Accord, le Prestataire reconnaît expressément que :</w:t>
      </w:r>
    </w:p>
    <w:p/>
    <w:p>
      <w:pPr>
        <w:ind w:left="454"/>
      </w:pPr>
      <w:r>
        <w:rPr>
          <w:b/>
        </w:rPr>
        <w:t xml:space="preserve">a) </w:t>
      </w:r>
      <w:r>
        <w:t>L'ensemble des accès, identifiants, mots de passe et secrets cryptographiques mis à sa disposition par PDLConsulting sont strictement personnels et ne peuvent être partagés ;</w:t>
      </w:r>
    </w:p>
    <w:p>
      <w:pPr>
        <w:ind w:left="454"/>
      </w:pPr>
      <w:r>
        <w:rPr>
          <w:b/>
        </w:rPr>
        <w:t xml:space="preserve">b) </w:t>
      </w:r>
      <w:r>
        <w:t xml:space="preserve">Le Prestataire est tenu de respecter la </w:t>
      </w:r>
      <w:r>
        <w:rPr>
          <w:b/>
        </w:rPr>
        <w:t>Charte de sécurité informatique</w:t>
      </w:r>
      <w:r>
        <w:t xml:space="preserve"> (Annexe 4) qui détaille les règles techniques applicables.</w:t>
      </w:r>
    </w:p>
    <w:p/>
    <w:p>
      <w:pPr>
        <w:pBdr>
          <w:bottom w:val="single" w:sz="6" w:space="1" w:color="999999"/>
        </w:pBdr>
      </w:pPr>
    </w:p>
    <w:p/>
    <w:p>
      <w:pPr>
        <w:pStyle w:val="Heading1"/>
      </w:pPr>
      <w:r>
        <w:t>Article 11 — Non-sollicitation et non-concurrence</w:t>
      </w:r>
    </w:p>
    <w:p/>
    <w:p>
      <w:r>
        <w:t xml:space="preserve">11.1 </w:t>
      </w:r>
      <w:r>
        <w:rPr>
          <w:b/>
        </w:rPr>
        <w:t>Non-sollicitation.</w:t>
      </w:r>
      <w:r>
        <w:t xml:space="preserve"> Pendant toute la durée du Contrat et pendant une période de </w:t>
      </w:r>
      <w:r>
        <w:rPr>
          <w:b/>
        </w:rPr>
        <w:t>douze (12) mois</w:t>
      </w:r>
      <w:r>
        <w:t xml:space="preserve"> suivant sa cessation, pour quelque cause que ce soit, le Prestataire s'interdit de solliciter, débaucher ou employer, directement ou indirectement, tout salarié, mandataire ou prestataire de PDLConsulting, sans accord écrit préalable de cette dernière.</w:t>
      </w:r>
    </w:p>
    <w:p/>
    <w:p>
      <w:r>
        <w:t xml:space="preserve">11.2 </w:t>
      </w:r>
      <w:r>
        <w:rPr>
          <w:b/>
        </w:rPr>
        <w:t>Non-concurrence limitée.</w:t>
      </w:r>
      <w:r>
        <w:t xml:space="preserve"> Pendant toute la durée du Contrat, le Prestataire s'interdit d'exécuter, directement ou indirectement, toute prestation de développement logiciel pour toute entreprise éditant un produit </w:t>
      </w:r>
      <w:r>
        <w:rPr>
          <w:b/>
        </w:rPr>
        <w:t>directement concurrent</w:t>
      </w:r>
      <w:r>
        <w:t xml:space="preserve"> de BoosterMail, à savoir : un assistant de génération automatisée de réponses email s'intégrant à Microsoft Outlook ou similaires, à destination de la clientèle professionnelle francophone.</w:t>
      </w:r>
    </w:p>
    <w:p/>
    <w:p>
      <w:r>
        <w:t xml:space="preserve">11.3 [OPTION : si Yvan veut une non-concurrence post-contrat, NE PAS l'imposer sans avocat — risque de nullité en France si non rémunérée et trop large] Compte tenu de la nature limitée du marché concerné et dans le respect du principe de proportionnalité posé par la jurisprudence française, </w:t>
      </w:r>
      <w:r>
        <w:rPr>
          <w:b/>
        </w:rPr>
        <w:t>aucune obligation de non-concurrence post-contractuelle</w:t>
      </w:r>
      <w:r>
        <w:t xml:space="preserve"> n'est imposée au Prestataire au-delà des obligations de confidentialité visées à l'article 10.</w:t>
      </w:r>
    </w:p>
    <w:p/>
    <w:p>
      <w:r>
        <w:t>11.4 Le Prestataire reste libre d'exercer toute autre activité professionnelle, y compris au profit de clients du secteur informatique, sous réserve du respect strict des obligations de confidentialité et de l'absence de conflit d'intérêts avéré.</w:t>
      </w:r>
    </w:p>
    <w:p/>
    <w:p>
      <w:pPr>
        <w:pBdr>
          <w:bottom w:val="single" w:sz="6" w:space="1" w:color="999999"/>
        </w:pBdr>
      </w:pPr>
    </w:p>
    <w:p/>
    <w:p>
      <w:pPr>
        <w:pStyle w:val="Heading1"/>
      </w:pPr>
      <w:r>
        <w:t>Article 12 — Responsabilité — Assurance</w:t>
      </w:r>
    </w:p>
    <w:p/>
    <w:p>
      <w:r>
        <w:t xml:space="preserve">12.1 </w:t>
      </w:r>
      <w:r>
        <w:rPr>
          <w:b/>
        </w:rPr>
        <w:t>Limitation de responsabilité.</w:t>
      </w:r>
      <w:r>
        <w:t xml:space="preserve"> La responsabilité du Prestataire vis-à-vis de PDLConsulting au titre de l'exécution du présent Contrat est limitée aux dommages directs et prévisibles. Sont expressément exclus de la responsabilité du Prestataire les dommages indirects (notamment perte de chiffre d'affaires, perte de clientèle, atteinte à l'image), à l'exception des cas de faute lourde, dol, ou manquement à ses obligations de confidentialité, de cession de propriété intellectuelle ou de garantie d'éviction (articles 9 et 10).</w:t>
      </w:r>
    </w:p>
    <w:p/>
    <w:p>
      <w:r>
        <w:t xml:space="preserve">12.2 </w:t>
      </w:r>
      <w:r>
        <w:rPr>
          <w:b/>
        </w:rPr>
        <w:t>Plafond.</w:t>
      </w:r>
      <w:r>
        <w:t xml:space="preserve"> En tout état de cause, et hors les cas visés à l'article 12.1 in fine, la responsabilité totale du Prestataire au titre du présent Contrat est plafonnée à un montant équivalent au </w:t>
      </w:r>
      <w:r>
        <w:rPr>
          <w:b/>
        </w:rPr>
        <w:t>total des sommes versées par PDLConsulting au Prestataire au cours des douze (12) mois précédant le fait générateur</w:t>
      </w:r>
      <w:r>
        <w:t xml:space="preserve"> du dommage.</w:t>
      </w:r>
    </w:p>
    <w:p/>
    <w:p>
      <w:r>
        <w:t xml:space="preserve">12.3 </w:t>
      </w:r>
      <w:r>
        <w:rPr>
          <w:b/>
        </w:rPr>
        <w:t>Assurance.</w:t>
      </w:r>
      <w:r>
        <w:t xml:space="preserve"> Le Prestataire déclare avoir souscrit, et s'engage à maintenir pendant toute la durée du Contrat, une police d'assurance Responsabilité Civile Professionnelle couvrant les conséquences pécuniaires de sa responsabilité civile professionnelle. Il fournit à PDLConsulting, à première demande, une attestation d'assurance en cours de validité.</w:t>
      </w:r>
    </w:p>
    <w:p/>
    <w:p>
      <w:pPr>
        <w:pBdr>
          <w:bottom w:val="single" w:sz="6" w:space="1" w:color="999999"/>
        </w:pBdr>
      </w:pPr>
    </w:p>
    <w:p/>
    <w:p>
      <w:pPr>
        <w:pStyle w:val="Heading1"/>
      </w:pPr>
      <w:r>
        <w:t>Article 13 — Résiliation</w:t>
      </w:r>
    </w:p>
    <w:p/>
    <w:p>
      <w:r>
        <w:t xml:space="preserve">13.1 </w:t>
      </w:r>
      <w:r>
        <w:rPr>
          <w:b/>
        </w:rPr>
        <w:t>Résiliation pour convenance.</w:t>
      </w:r>
      <w:r>
        <w:t xml:space="preserve"> Chaque Partie peut résilier le présent Contrat, à tout moment et sans avoir à justifier d'un motif, moyennant le respect d'un préavis de </w:t>
      </w:r>
      <w:r>
        <w:rPr>
          <w:b/>
        </w:rPr>
        <w:t>trente (30) jours calendaires</w:t>
      </w:r>
      <w:r>
        <w:t xml:space="preserve"> notifié par lettre recommandée avec accusé de réception ou par voie électronique avec accusé de réception.</w:t>
      </w:r>
    </w:p>
    <w:p/>
    <w:p>
      <w:r>
        <w:t xml:space="preserve">13.2 </w:t>
      </w:r>
      <w:r>
        <w:rPr>
          <w:b/>
        </w:rPr>
        <w:t>Résiliation pour faute.</w:t>
      </w:r>
      <w:r>
        <w:t xml:space="preserve"> En cas de manquement grave par l'une des Parties à l'une de ses obligations contractuelles, l'autre Partie peut résilier le Contrat de plein droit, après mise en demeure restée infructueuse pendant un délai de </w:t>
      </w:r>
      <w:r>
        <w:rPr>
          <w:b/>
        </w:rPr>
        <w:t>quinze (15) jours</w:t>
      </w:r>
      <w:r>
        <w:t>, par lettre recommandée avec accusé de réception, sans préjudice de toute action en réparation du préjudice subi.</w:t>
      </w:r>
    </w:p>
    <w:p/>
    <w:p>
      <w:r>
        <w:t xml:space="preserve">13.3 </w:t>
      </w:r>
      <w:r>
        <w:rPr>
          <w:b/>
        </w:rPr>
        <w:t>Résiliation immédiate.</w:t>
      </w:r>
      <w:r>
        <w:t xml:space="preserve"> Le Contrat peut être résilié immédiatement et de plein droit par PDLConsulting, sans préavis ni indemnité, en cas :</w:t>
      </w:r>
    </w:p>
    <w:p/>
    <w:p>
      <w:pPr>
        <w:ind w:left="454"/>
      </w:pPr>
      <w:r>
        <w:rPr>
          <w:b/>
        </w:rPr>
        <w:t xml:space="preserve">a) </w:t>
      </w:r>
      <w:r>
        <w:t>De manquement du Prestataire à ses obligations de confidentialité (article 10) ou de propriété intellectuelle (article 9) ;</w:t>
      </w:r>
    </w:p>
    <w:p>
      <w:pPr>
        <w:ind w:left="454"/>
      </w:pPr>
      <w:r>
        <w:rPr>
          <w:b/>
        </w:rPr>
        <w:t xml:space="preserve">b) </w:t>
      </w:r>
      <w:r>
        <w:t>De manquement grave du Prestataire à la Charte de sécurité informatique (Annexe 4) susceptible d'exposer PDLConsulting à un risque de sécurité ou de conformité ;</w:t>
      </w:r>
    </w:p>
    <w:p>
      <w:pPr>
        <w:ind w:left="454"/>
      </w:pPr>
      <w:r>
        <w:rPr>
          <w:b/>
        </w:rPr>
        <w:t xml:space="preserve">c) </w:t>
      </w:r>
      <w:r>
        <w:t>De fausse déclaration du Prestataire concernant son immatriculation, ses assurances ou son indépendance ;</w:t>
      </w:r>
    </w:p>
    <w:p>
      <w:pPr>
        <w:ind w:left="454"/>
      </w:pPr>
      <w:r>
        <w:rPr>
          <w:b/>
        </w:rPr>
        <w:t xml:space="preserve">d) </w:t>
      </w:r>
      <w:r>
        <w:t>D'ouverture d'une procédure de redressement, de liquidation judiciaire ou équivalente affectant le Prestataire.</w:t>
      </w:r>
    </w:p>
    <w:p/>
    <w:p>
      <w:r>
        <w:t xml:space="preserve">13.4 </w:t>
      </w:r>
      <w:r>
        <w:rPr>
          <w:b/>
        </w:rPr>
        <w:t>Conséquences de la résiliation.</w:t>
      </w:r>
      <w:r>
        <w:t xml:space="preserve"> En cas de résiliation, quelle qu'en soit la cause :</w:t>
      </w:r>
    </w:p>
    <w:p/>
    <w:p>
      <w:pPr>
        <w:ind w:left="454"/>
      </w:pPr>
      <w:r>
        <w:rPr>
          <w:b/>
        </w:rPr>
        <w:t xml:space="preserve">a) </w:t>
      </w:r>
      <w:r>
        <w:t>Le Prestataire est rémunéré au prorata des Prestations effectivement exécutées et acceptées jusqu'à la date de résiliation ;</w:t>
      </w:r>
    </w:p>
    <w:p>
      <w:pPr>
        <w:ind w:left="454"/>
      </w:pPr>
      <w:r>
        <w:rPr>
          <w:b/>
        </w:rPr>
        <w:t xml:space="preserve">b) </w:t>
      </w:r>
      <w:r>
        <w:t xml:space="preserve">Le Prestataire restitue à PDLConsulting, dans les </w:t>
      </w:r>
      <w:r>
        <w:rPr>
          <w:b/>
        </w:rPr>
        <w:t>dix (10) jours ouvrés</w:t>
      </w:r>
      <w:r>
        <w:t>, l'ensemble des Informations Confidentielles, livrables en cours, accès, documentations et matériels mis à sa disposition, et procède à la destruction des copies dans les conditions prévues à l'article 5.3 du NDA ;</w:t>
      </w:r>
    </w:p>
    <w:p>
      <w:pPr>
        <w:ind w:left="454"/>
      </w:pPr>
      <w:r>
        <w:rPr>
          <w:b/>
        </w:rPr>
        <w:t xml:space="preserve">c) </w:t>
      </w:r>
      <w:r>
        <w:t>Les obligations de confidentialité (article 10), de propriété intellectuelle (article 9), de non-sollicitation (article 11.1) et de garantie (articles 9.5 et 12) survivent à la résiliation.</w:t>
      </w:r>
    </w:p>
    <w:p/>
    <w:p>
      <w:pPr>
        <w:pBdr>
          <w:bottom w:val="single" w:sz="6" w:space="1" w:color="999999"/>
        </w:pBdr>
      </w:pPr>
    </w:p>
    <w:p/>
    <w:p>
      <w:pPr>
        <w:pStyle w:val="Heading1"/>
      </w:pPr>
      <w:r>
        <w:t>Article 14 — Données personnelles</w:t>
      </w:r>
    </w:p>
    <w:p/>
    <w:p>
      <w:r>
        <w:t>14.1 Dans le cadre de l'exécution du Contrat, chacune des Parties peut être amenée à traiter des données personnelles concernant l'autre Partie ou ses représentants. Chaque Partie s'engage à respecter la réglementation applicable en matière de protection des données personnelles, notamment le Règlement (UE) 2016/679 (« RGPD »).</w:t>
      </w:r>
    </w:p>
    <w:p/>
    <w:p>
      <w:r>
        <w:t xml:space="preserve">14.2 Si l'exécution des Prestations conduit le Prestataire à accéder, traiter ou héberger des données personnelles d'utilisateurs de la solution BoosterMail (par exemple : accès à la base de données de production, lecture de logs contenant des emails utilisateurs), le Prestataire intervient en qualité de </w:t>
      </w:r>
      <w:r>
        <w:rPr>
          <w:b/>
        </w:rPr>
        <w:t>sous-traitant ultérieur</w:t>
      </w:r>
      <w:r>
        <w:t xml:space="preserve"> au sens de l'article 28 du RGPD. Dans ce cas, les Parties signeront un </w:t>
      </w:r>
      <w:r>
        <w:rPr>
          <w:b/>
        </w:rPr>
        <w:t>Accord de Sous-Traitance des Données Personnelles</w:t>
      </w:r>
      <w:r>
        <w:t xml:space="preserve"> (DPA) distinct, qui prévaudra sur les présentes en cas de contradiction.</w:t>
      </w:r>
    </w:p>
    <w:p/>
    <w:p>
      <w:r>
        <w:t xml:space="preserve">14.3 À défaut de signature d'un tel DPA, </w:t>
      </w:r>
      <w:r>
        <w:rPr>
          <w:b/>
        </w:rPr>
        <w:t>le Prestataire s'interdit tout accès, traitement ou copie de données personnelles d'utilisateurs</w:t>
      </w:r>
      <w:r>
        <w:t>, et utilise exclusivement des jeux de données factices ou anonymisés à des fins de développement et de test.</w:t>
      </w:r>
    </w:p>
    <w:p/>
    <w:p>
      <w:pPr>
        <w:pBdr>
          <w:bottom w:val="single" w:sz="6" w:space="1" w:color="999999"/>
        </w:pBdr>
      </w:pPr>
    </w:p>
    <w:p/>
    <w:p>
      <w:pPr>
        <w:pStyle w:val="Heading1"/>
      </w:pPr>
      <w:r>
        <w:t>Article 15 — Force majeure</w:t>
      </w:r>
    </w:p>
    <w:p/>
    <w:p>
      <w:r>
        <w:t>15.1 Aucune des Parties ne pourra être tenue responsable de l'inexécution ou du retard d'exécution de ses obligations en cas de survenance d'un événement de force majeure au sens de l'article 1218 du Code civil français, étant précisé que les difficultés financières ou organisationnelles propres à une Partie ne constituent pas un cas de force majeure.</w:t>
      </w:r>
    </w:p>
    <w:p/>
    <w:p>
      <w:r>
        <w:t xml:space="preserve">15.2 La Partie affectée notifie sans délai l'autre Partie de la survenance de l'événement de force majeure et met en œuvre tous moyens raisonnables pour en limiter les effets. Si l'empêchement persiste plus de </w:t>
      </w:r>
      <w:r>
        <w:rPr>
          <w:b/>
        </w:rPr>
        <w:t>trente (30) jours</w:t>
      </w:r>
      <w:r>
        <w:t>, chaque Partie peut résilier le Contrat sans indemnité.</w:t>
      </w:r>
    </w:p>
    <w:p/>
    <w:p>
      <w:pPr>
        <w:pBdr>
          <w:bottom w:val="single" w:sz="6" w:space="1" w:color="999999"/>
        </w:pBdr>
      </w:pPr>
    </w:p>
    <w:p/>
    <w:p>
      <w:pPr>
        <w:pStyle w:val="Heading1"/>
      </w:pPr>
      <w:r>
        <w:t>Article 16 — Dispositions générales</w:t>
      </w:r>
    </w:p>
    <w:p/>
    <w:p>
      <w:r>
        <w:t xml:space="preserve">16.1 </w:t>
      </w:r>
      <w:r>
        <w:rPr>
          <w:b/>
        </w:rPr>
        <w:t>Annexes.</w:t>
      </w:r>
      <w:r>
        <w:t xml:space="preserve"> Sont annexées au présent Contrat et en font partie intégrante :</w:t>
      </w:r>
    </w:p>
    <w:p/>
    <w:p>
      <w:pPr>
        <w:pStyle w:val="ListBullet"/>
      </w:pPr>
      <w:r>
        <w:rPr>
          <w:b/>
        </w:rPr>
        <w:t>Annexe 1</w:t>
      </w:r>
      <w:r>
        <w:t xml:space="preserve"> : Annexe Mission (à signer pour chaque mission spécifique) ;</w:t>
      </w:r>
    </w:p>
    <w:p>
      <w:pPr>
        <w:pStyle w:val="ListBullet"/>
      </w:pPr>
      <w:r>
        <w:rPr>
          <w:b/>
        </w:rPr>
        <w:t>Annexe 2</w:t>
      </w:r>
      <w:r>
        <w:t xml:space="preserve"> : Accord de Confidentialité Bilatéral (signé séparément, repris par référence) ;</w:t>
      </w:r>
    </w:p>
    <w:p>
      <w:pPr>
        <w:pStyle w:val="ListBullet"/>
      </w:pPr>
      <w:r>
        <w:rPr>
          <w:b/>
        </w:rPr>
        <w:t>Annexe 3</w:t>
      </w:r>
      <w:r>
        <w:t xml:space="preserve"> : [supprimer si non applicable] Accord de Sous-Traitance des Données Personnelles (DPA) ;</w:t>
      </w:r>
    </w:p>
    <w:p>
      <w:pPr>
        <w:pStyle w:val="ListBullet"/>
      </w:pPr>
      <w:r>
        <w:rPr>
          <w:b/>
        </w:rPr>
        <w:t>Annexe 4</w:t>
      </w:r>
      <w:r>
        <w:t xml:space="preserve"> : Charte de sécurité informatique.</w:t>
      </w:r>
    </w:p>
    <w:p/>
    <w:p>
      <w:r>
        <w:t xml:space="preserve">16.2 </w:t>
      </w:r>
      <w:r>
        <w:rPr>
          <w:b/>
        </w:rPr>
        <w:t>Intégralité de l'accord.</w:t>
      </w:r>
      <w:r>
        <w:t xml:space="preserve"> Le Contrat, ses Annexes et le NDA constituent l'intégralité de l'accord entre les Parties relativement à son objet et se substituent à tous accords antérieurs, écrits ou oraux.</w:t>
      </w:r>
    </w:p>
    <w:p/>
    <w:p>
      <w:r>
        <w:t xml:space="preserve">16.3 </w:t>
      </w:r>
      <w:r>
        <w:rPr>
          <w:b/>
        </w:rPr>
        <w:t>Modifications.</w:t>
      </w:r>
      <w:r>
        <w:t xml:space="preserve"> Toute modification du Contrat requiert un avenant écrit signé par les deux Parties. Aucune modification verbale ou implicite ne peut être opposée à PDLConsulting.</w:t>
      </w:r>
    </w:p>
    <w:p/>
    <w:p>
      <w:r>
        <w:t xml:space="preserve">16.4 </w:t>
      </w:r>
      <w:r>
        <w:rPr>
          <w:b/>
        </w:rPr>
        <w:t>Indépendance des clauses.</w:t>
      </w:r>
      <w:r>
        <w:t xml:space="preserve"> La nullité, l'illégalité ou l'inapplicabilité de l'une quelconque des stipulations du Contrat n'affecte pas la validité, la légalité ou l'applicabilité des autres stipulations.</w:t>
      </w:r>
    </w:p>
    <w:p/>
    <w:p>
      <w:r>
        <w:t xml:space="preserve">16.5 </w:t>
      </w:r>
      <w:r>
        <w:rPr>
          <w:b/>
        </w:rPr>
        <w:t>Tolérance.</w:t>
      </w:r>
      <w:r>
        <w:t xml:space="preserve"> Le fait pour une Partie de tolérer un manquement de l'autre Partie à l'une de ses obligations ne saurait être interprété comme une renonciation à se prévaloir de cette obligation à l'avenir.</w:t>
      </w:r>
    </w:p>
    <w:p/>
    <w:p>
      <w:r>
        <w:t xml:space="preserve">16.6 </w:t>
      </w:r>
      <w:r>
        <w:rPr>
          <w:b/>
        </w:rPr>
        <w:t>Cession.</w:t>
      </w:r>
      <w:r>
        <w:t xml:space="preserve"> Le Contrat est conclu intuitu personae à l'égard du Prestataire, qui ne peut le céder à un tiers sans l'accord écrit préalable de PDLConsulting. PDLConsulting peut céder librement le Contrat à toute société de son groupe ou à un tiers acquéreur de tout ou partie de son activité.</w:t>
      </w:r>
    </w:p>
    <w:p/>
    <w:p>
      <w:r>
        <w:t xml:space="preserve">16.7 </w:t>
      </w:r>
      <w:r>
        <w:rPr>
          <w:b/>
        </w:rPr>
        <w:t>Notifications.</w:t>
      </w:r>
      <w:r>
        <w:t xml:space="preserve"> Toute notification au titre du Contrat est valablement faite par courrier électronique avec accusé de réception, ou par lettre recommandée avec accusé de réception, aux adresses suivantes :</w:t>
      </w:r>
    </w:p>
    <w:p/>
    <w:p>
      <w:pPr>
        <w:pStyle w:val="ListBullet"/>
      </w:pPr>
      <w:r>
        <w:t>Pour PDLConsulting : [À COMPLÉTER : email + adresse postale]</w:t>
      </w:r>
    </w:p>
    <w:p>
      <w:pPr>
        <w:pStyle w:val="ListBullet"/>
      </w:pPr>
      <w:r>
        <w:t>Pour le Prestataire : [À COMPLÉTER]</w:t>
      </w:r>
    </w:p>
    <w:p/>
    <w:p>
      <w:r>
        <w:t xml:space="preserve">16.8 </w:t>
      </w:r>
      <w:r>
        <w:rPr>
          <w:b/>
        </w:rPr>
        <w:t>Loi applicable.</w:t>
      </w:r>
      <w:r>
        <w:t xml:space="preserve"> Le Contrat est régi et interprété selon le </w:t>
      </w:r>
      <w:r>
        <w:rPr>
          <w:b/>
        </w:rPr>
        <w:t>droit français</w:t>
      </w:r>
      <w:r>
        <w:t>.</w:t>
      </w:r>
    </w:p>
    <w:p/>
    <w:p>
      <w:r>
        <w:t xml:space="preserve">16.9 </w:t>
      </w:r>
      <w:r>
        <w:rPr>
          <w:b/>
        </w:rPr>
        <w:t>Juridiction.</w:t>
      </w:r>
      <w:r>
        <w:t xml:space="preserve"> Tout litige relatif à la formation, l'exécution, l'interprétation ou la résiliation du Contrat, qui n'aurait pu être résolu à l'amiable, sera de la compétence exclusive du </w:t>
      </w:r>
      <w:r>
        <w:rPr>
          <w:b/>
        </w:rPr>
        <w:t>Tribunal de commerce de Paris</w:t>
      </w:r>
      <w:r>
        <w:t>, nonobstant pluralité de défendeurs ou appel en garantie.</w:t>
      </w:r>
    </w:p>
    <w:p/>
    <w:p>
      <w:pPr>
        <w:pBdr>
          <w:bottom w:val="single" w:sz="6" w:space="1" w:color="999999"/>
        </w:pBdr>
      </w:pPr>
    </w:p>
    <w:p/>
    <w:p>
      <w:pPr>
        <w:pStyle w:val="Heading1"/>
      </w:pPr>
      <w:r>
        <w:t>Signatures</w:t>
      </w:r>
    </w:p>
    <w:p/>
    <w:p>
      <w:r>
        <w:t>Fait en deux (2) exemplaires originaux, à [À COMPLÉTER : ville], le [date de signature].</w:t>
      </w:r>
    </w:p>
    <w:p/>
    <w:tbl>
      <w:tblPr>
        <w:tblStyle w:val="LightGrid-Accent1"/>
        <w:tblW w:type="auto" w:w="0"/>
        <w:jc w:val="center"/>
        <w:tblLook w:firstColumn="1" w:firstRow="1" w:lastColumn="0" w:lastRow="0" w:noHBand="0" w:noVBand="1" w:val="04A0"/>
      </w:tblPr>
      <w:tblGrid>
        <w:gridCol w:w="4703"/>
        <w:gridCol w:w="4703"/>
      </w:tblGrid>
      <w:tr>
        <w:tc>
          <w:tcPr>
            <w:tcW w:type="dxa" w:w="4703"/>
            <w:shd w:fill="D5E8F0" w:val="clear"/>
          </w:tcPr>
          <w:p>
            <w:r>
              <w:rPr>
                <w:b/>
              </w:rPr>
            </w:r>
            <w:r>
              <w:rPr>
                <w:b/>
              </w:rPr>
              <w:t>Pour PDLConsulting</w:t>
            </w:r>
          </w:p>
        </w:tc>
        <w:tc>
          <w:tcPr>
            <w:tcW w:type="dxa" w:w="4703"/>
            <w:shd w:fill="D5E8F0" w:val="clear"/>
          </w:tcPr>
          <w:p>
            <w:r>
              <w:rPr>
                <w:b/>
              </w:rPr>
            </w:r>
            <w:r>
              <w:rPr>
                <w:b/>
              </w:rPr>
              <w:t>Pour le Prestataire</w:t>
            </w:r>
          </w:p>
        </w:tc>
      </w:tr>
      <w:tr>
        <w:tc>
          <w:tcPr>
            <w:tcW w:type="dxa" w:w="4703"/>
          </w:tcPr>
          <w:p>
            <w:r/>
            <w:r>
              <w:t>Yvan BOSSER</w:t>
            </w:r>
          </w:p>
        </w:tc>
        <w:tc>
          <w:tcPr>
            <w:tcW w:type="dxa" w:w="4703"/>
          </w:tcPr>
          <w:p>
            <w:r/>
            <w:r>
              <w:t>[NOM Prénom]</w:t>
            </w:r>
          </w:p>
        </w:tc>
      </w:tr>
      <w:tr>
        <w:tc>
          <w:tcPr>
            <w:tcW w:type="dxa" w:w="4703"/>
          </w:tcPr>
          <w:p>
            <w:r/>
            <w:r>
              <w:t>Directeur</w:t>
            </w:r>
          </w:p>
        </w:tc>
        <w:tc>
          <w:tcPr>
            <w:tcW w:type="dxa" w:w="4703"/>
          </w:tcPr>
          <w:p>
            <w:r/>
            <w:r>
              <w:t>[Qualité]</w:t>
            </w:r>
          </w:p>
        </w:tc>
      </w:tr>
      <w:tr>
        <w:tc>
          <w:tcPr>
            <w:tcW w:type="dxa" w:w="4703"/>
          </w:tcPr>
          <w:p>
            <w:r/>
            <w:r>
              <w:t>Signature :</w:t>
            </w:r>
          </w:p>
        </w:tc>
        <w:tc>
          <w:tcPr>
            <w:tcW w:type="dxa" w:w="4703"/>
          </w:tcPr>
          <w:p>
            <w:r/>
            <w:r>
              <w:t>Signature :</w:t>
            </w:r>
          </w:p>
        </w:tc>
      </w:tr>
      <w:tr>
        <w:tc>
          <w:tcPr>
            <w:tcW w:type="dxa" w:w="4703"/>
          </w:tcPr>
          <w:p>
            <w:r/>
            <w:r>
              <w:t>Date :</w:t>
            </w:r>
          </w:p>
        </w:tc>
        <w:tc>
          <w:tcPr>
            <w:tcW w:type="dxa" w:w="4703"/>
          </w:tcPr>
          <w:p>
            <w:r/>
            <w:r>
              <w:t>Date :</w:t>
            </w:r>
          </w:p>
        </w:tc>
      </w:tr>
    </w:tbl>
    <w:p/>
    <w:p>
      <w:pPr>
        <w:ind w:left="340"/>
      </w:pPr>
      <w:r>
        <w:rPr>
          <w:i/>
          <w:color w:val="595959"/>
        </w:rPr>
        <w:t xml:space="preserve">« </w:t>
      </w:r>
      <w:r>
        <w:rPr>
          <w:i/>
          <w:color w:val="595959"/>
        </w:rPr>
        <w:t>[NOTE INTERNE : faire parapher chaque page par les deux parties + faire signer chaque annexe séparément.]</w:t>
      </w:r>
      <w:r>
        <w:rPr>
          <w:i/>
        </w:rPr>
        <w:t xml:space="preserve"> »</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