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1A4D2E"/>
          <w:sz w:val="22"/>
        </w:rPr>
        <w:t>UNIVERSITÉ D'EBOLOWA</w:t>
      </w:r>
    </w:p>
    <w:p>
      <w:pPr>
        <w:jc w:val="center"/>
      </w:pPr>
      <w:r>
        <w:rPr>
          <w:rFonts w:ascii="Times New Roman" w:hAnsi="Times New Roman"/>
          <w:b w:val="0"/>
          <w:i w:val="0"/>
          <w:color w:val="222222"/>
          <w:sz w:val="20"/>
        </w:rPr>
        <w:t>Institut Supérieur d'Agriculture, du Bois, de l'Eau et de l'Environnement (ISABEE)</w:t>
      </w:r>
    </w:p>
    <w:p>
      <w:pPr>
        <w:jc w:val="center"/>
      </w:pPr>
      <w:r>
        <w:rPr>
          <w:rFonts w:ascii="Times New Roman" w:hAnsi="Times New Roman"/>
          <w:b w:val="0"/>
          <w:i w:val="0"/>
          <w:color w:val="222222"/>
          <w:sz w:val="20"/>
        </w:rPr>
        <w:t>Département Foresterie, Sciences et Technologies du Bois</w:t>
      </w:r>
    </w:p>
    <w:p/>
    <w:p>
      <w:pPr>
        <w:spacing w:before="120" w:after="120"/>
        <w:pBdr>
          <w:bottom w:val="single" w:sz="6" w:space="1" w:color="1A4D2E"/>
        </w:pBdr>
      </w:pPr>
    </w:p>
    <w:p/>
    <w:p>
      <w:pPr>
        <w:spacing w:before="120" w:after="80"/>
        <w:jc w:val="center"/>
      </w:pPr>
      <w:r>
        <w:rPr>
          <w:rFonts w:ascii="Times New Roman" w:hAnsi="Times New Roman"/>
          <w:b/>
          <w:i w:val="0"/>
          <w:color w:val="1A4D2E"/>
          <w:sz w:val="26"/>
        </w:rPr>
        <w:t>MÉMOIRE DE MASTER 2</w:t>
      </w:r>
    </w:p>
    <w:p>
      <w:pPr>
        <w:spacing w:after="40"/>
        <w:jc w:val="center"/>
      </w:pPr>
      <w:r>
        <w:rPr>
          <w:rFonts w:ascii="Times New Roman" w:hAnsi="Times New Roman"/>
          <w:b w:val="0"/>
          <w:i w:val="0"/>
          <w:color w:val="222222"/>
          <w:sz w:val="20"/>
        </w:rPr>
        <w:t>Présenté par BWAME EBENGUE CARLOS YVAN  |  Matricule 21ISFS0606</w:t>
      </w:r>
    </w:p>
    <w:p>
      <w:pPr>
        <w:spacing w:after="40"/>
        <w:jc w:val="center"/>
      </w:pPr>
      <w:r>
        <w:rPr>
          <w:rFonts w:ascii="Times New Roman" w:hAnsi="Times New Roman"/>
          <w:b w:val="0"/>
          <w:i w:val="0"/>
          <w:color w:val="222222"/>
          <w:sz w:val="20"/>
        </w:rPr>
        <w:t>Année académique 2025-2026  |  Encadreur : Dr Tchiofo Rodine</w:t>
      </w:r>
    </w:p>
    <w:p/>
    <w:p>
      <w:pPr>
        <w:spacing w:before="120" w:after="120"/>
        <w:pBdr>
          <w:bottom w:val="single" w:sz="6" w:space="1" w:color="1A4D2E"/>
        </w:pBdr>
      </w:pPr>
    </w:p>
    <w:p/>
    <w:p>
      <w:pPr>
        <w:spacing w:before="160" w:after="320"/>
        <w:jc w:val="center"/>
      </w:pPr>
      <w:r>
        <w:rPr>
          <w:rFonts w:ascii="Times New Roman" w:hAnsi="Times New Roman"/>
          <w:b/>
          <w:i w:val="0"/>
          <w:color w:val="1A4D2E"/>
          <w:sz w:val="30"/>
        </w:rPr>
        <w:t>Amélioration des performances de production de la chaîne 4</w:t>
        <w:br/>
        <w:t>de la scierie industrielle CUF d'Ebolowa</w:t>
      </w:r>
    </w:p>
    <w:p>
      <w:pPr>
        <w:spacing w:before="120" w:after="120"/>
        <w:pBdr>
          <w:bottom w:val="single" w:sz="6" w:space="1" w:color="1A4D2E"/>
        </w:pBdr>
      </w:pPr>
    </w:p>
    <w:p/>
    <w:p>
      <w:pPr>
        <w:spacing w:before="360" w:after="120"/>
        <w:jc w:val="left"/>
      </w:pPr>
      <w:r>
        <w:rPr>
          <w:rFonts w:ascii="Times New Roman" w:hAnsi="Times New Roman"/>
          <w:b/>
          <w:i w:val="0"/>
          <w:color w:val="1A4D2E"/>
          <w:sz w:val="32"/>
          <w:u w:val="single"/>
        </w:rPr>
        <w:t>INTRODUCTION</w:t>
      </w:r>
    </w:p>
    <w:p/>
    <w:p>
      <w:pPr>
        <w:spacing w:before="240" w:after="120"/>
        <w:jc w:val="left"/>
      </w:pPr>
      <w:r>
        <w:rPr>
          <w:rFonts w:ascii="Times New Roman" w:hAnsi="Times New Roman"/>
          <w:b/>
          <w:i w:val="0"/>
          <w:color w:val="6B3A2A"/>
          <w:sz w:val="26"/>
        </w:rPr>
        <w:t>1.  Contexte et justificatif</w:t>
      </w:r>
    </w:p>
    <w:p>
      <w:pPr>
        <w:spacing w:before="0" w:after="160" w:line="360" w:lineRule="exact"/>
        <w:ind w:firstLine="709"/>
        <w:jc w:val="both"/>
      </w:pPr>
      <w:r>
        <w:rPr>
          <w:rFonts w:ascii="Times New Roman" w:hAnsi="Times New Roman"/>
          <w:b w:val="0"/>
          <w:i w:val="0"/>
          <w:color w:val="222222"/>
          <w:sz w:val="24"/>
        </w:rPr>
        <w:t>Le secteur forestier occupe une place structurante dans l'économie camerounaise. Il contribue à hauteur de 3,8 % du produit intérieur brut national et représente la troisième source d'exportation du pays, après le cacao et les hydrocarbures (Banque mondiale, 2024). En 2022, les exportations forestières ont atteint 314,8 milliards de francs CFA, dont 14 à 16 % générés par le bois scié, qui s'impose comme l'un des segments les plus dynamiques de la filière. Le Cameroun se distingue par ailleurs comme le premier exportateur mondial de sapelli et d'iroko sciés, avec 737 000 tonnes exportées cette même année, ce qui témoigne d'un potentiel productif considérable. Ce secteur emploie environ 45 000 personnes, dont 22 000 dans le secteur informel, ce qui en fait un pilier social autant qu'économique pour les régions forestières du pays.</w:t>
      </w:r>
    </w:p>
    <w:p>
      <w:pPr>
        <w:spacing w:before="0" w:after="160" w:line="360" w:lineRule="exact"/>
        <w:ind w:firstLine="709"/>
        <w:jc w:val="both"/>
      </w:pPr>
      <w:r>
        <w:rPr>
          <w:rFonts w:ascii="Times New Roman" w:hAnsi="Times New Roman"/>
          <w:b w:val="0"/>
          <w:i w:val="0"/>
          <w:color w:val="222222"/>
          <w:sz w:val="24"/>
        </w:rPr>
        <w:t>Pourtant, malgré ce potentiel, les performances des scieries camerounaises demeurent en deçà des standards internationaux. Les travaux de Danwé, Bindzi et Meva'a (2012) ont montré que le rendement matière des scieries du pays oscille entre 30 et 36 %, là où les benchmarks internationaux s'établissent à 60 % et au-delà. Cette sous-performance n'est pas propre au Cameroun : Ngobi et al. (2023) documentent un rendement de 32 % en Ouganda avec une efficience de 26,6 %, et Cheboiwo, Macharia et Kiprop (2023) établissent que les scieries kényanes opèrent en moyenne à moins d'un tiers de leur capacité optimale. À l'échelle de l'Afrique centrale, Karsenty (2021) confirme un rendement matière moyen de 35 %, révélant un écart structurel persistant entre ce que les équipements pourraient produire et ce qu'ils produisent réellement.</w:t>
      </w:r>
    </w:p>
    <w:p>
      <w:pPr>
        <w:spacing w:before="0" w:after="160" w:line="360" w:lineRule="exact"/>
        <w:ind w:firstLine="709"/>
        <w:jc w:val="both"/>
      </w:pPr>
      <w:r>
        <w:rPr>
          <w:rFonts w:ascii="Times New Roman" w:hAnsi="Times New Roman"/>
          <w:b w:val="0"/>
          <w:i w:val="0"/>
          <w:color w:val="222222"/>
          <w:sz w:val="24"/>
        </w:rPr>
        <w:t>La scierie industrielle CUF (Cameroon United Forests) d'Ebolowa s'inscrit dans ce contexte. Entreprise de grande envergure dotée de quatre chaînes de sciage, elle transforme les principales essences commerciales de la région du Sud — ayous, azobé, iroko et movingui — pour des marchés locaux et à l'exportation. La chaîne 4, objet de la présente étude, concentre une part significative de la production de l'entreprise. Or, à l'arrivée du stagiaire sur le site, aucune feuille de relevé, aucun tableau de suivi et aucun historique structuré de la production de cette chaîne n'existaient. L'objectif de production affiché — 25 mètres cubes par poste — n'avait jamais fait l'objet d'une vérification technique et avait été fixé de manière empirique, sans référence aux capacités réelles des équipements.</w:t>
      </w:r>
    </w:p>
    <w:p>
      <w:pPr>
        <w:spacing w:before="0" w:after="160" w:line="360" w:lineRule="exact"/>
        <w:ind w:firstLine="709"/>
        <w:jc w:val="both"/>
      </w:pPr>
      <w:r>
        <w:rPr>
          <w:rFonts w:ascii="Times New Roman" w:hAnsi="Times New Roman"/>
          <w:b w:val="0"/>
          <w:i w:val="0"/>
          <w:color w:val="222222"/>
          <w:sz w:val="24"/>
        </w:rPr>
        <w:t>C'est dans ce vide documentaire et analytique que la présente étude trouve sa justification. Améliorer les performances d'une chaîne de production sans en connaître la capacité réelle ni les causes des pertes revient à traiter un symptôme sans diagnostic. Il est donc nécessaire, avant toute proposition d'action, d'établir des références techniques solides, de mesurer la réalité du terrain et d'identifier les facteurs qui freinent la performance de la chaîne 4.</w:t>
      </w:r>
    </w:p>
    <w:p>
      <w:pPr>
        <w:spacing w:before="280" w:after="120"/>
        <w:jc w:val="left"/>
      </w:pPr>
      <w:r>
        <w:rPr>
          <w:rFonts w:ascii="Times New Roman" w:hAnsi="Times New Roman"/>
          <w:b/>
          <w:i w:val="0"/>
          <w:color w:val="6B3A2A"/>
          <w:sz w:val="26"/>
        </w:rPr>
        <w:t>2.  Problème et problématique</w:t>
      </w:r>
    </w:p>
    <w:p>
      <w:pPr>
        <w:spacing w:before="0" w:after="160" w:line="360" w:lineRule="exact"/>
        <w:ind w:firstLine="709"/>
        <w:jc w:val="both"/>
      </w:pPr>
      <w:r>
        <w:rPr>
          <w:rFonts w:ascii="Times New Roman" w:hAnsi="Times New Roman"/>
          <w:b w:val="0"/>
          <w:i w:val="0"/>
          <w:color w:val="222222"/>
          <w:sz w:val="24"/>
        </w:rPr>
        <w:t>La chaîne 4 de la scierie CUF d'Ebolowa présente un déficit de production persistant et non documenté. L'objectif de 25 mètres cubes par poste n'est pas atteint : la production réelle se situe entre 10 et 20 mètres cubes, soit un écart pouvant dépasser 60 %. Cet écart est connu de l'encadrement, mais il n'a jamais été mesuré ni analysé. La valeur cible elle-même ne repose sur aucune base technique — elle résulte d'une estimation empirique, sans lien avec les caractéristiques réelles des machines ni avec les propriétés des essences transformées. En l'absence de données structurées, de référence théorique établie et d'outils de diagnostic, les responsables de CUF ne disposent d'aucun levier pour agir sur des causes identifiées. Toutes les décisions relatives à la production de la chaîne 4 sont donc prises à l'aveugle.</w:t>
      </w:r>
    </w:p>
    <w:p>
      <w:pPr>
        <w:spacing w:before="120" w:after="120"/>
        <w:ind w:left="567" w:right="567"/>
        <w:jc w:val="both"/>
        <w:pBdr>
          <w:left w:val="single" w:sz="12" w:space="12" w:color="1A4D2E"/>
        </w:pBdr>
      </w:pPr>
      <w:r>
        <w:rPr>
          <w:rFonts w:ascii="Times New Roman" w:hAnsi="Times New Roman"/>
          <w:b/>
          <w:i/>
          <w:color w:val="1A4D2E"/>
          <w:sz w:val="24"/>
        </w:rPr>
        <w:t xml:space="preserve">Problématique : </w:t>
      </w:r>
      <w:r>
        <w:rPr>
          <w:rFonts w:ascii="Times New Roman" w:hAnsi="Times New Roman"/>
          <w:b w:val="0"/>
          <w:i/>
          <w:color w:val="222222"/>
          <w:sz w:val="24"/>
        </w:rPr>
        <w:t>Dans quelle mesure l'absence de référence technique de production, de système de mesure et de diagnostic des pertes compromet-elle les performances de production de la chaîne 4 de la scierie industrielle CUF d'Ebolowa, et quelles actions correctives permettraient d'y remédier de façon durable ?</w:t>
      </w:r>
    </w:p>
    <w:p/>
    <w:p>
      <w:pPr>
        <w:spacing w:before="280" w:after="120"/>
        <w:jc w:val="left"/>
      </w:pPr>
      <w:r>
        <w:rPr>
          <w:rFonts w:ascii="Times New Roman" w:hAnsi="Times New Roman"/>
          <w:b/>
          <w:i w:val="0"/>
          <w:color w:val="6B3A2A"/>
          <w:sz w:val="26"/>
        </w:rPr>
        <w:t>3.  Objectif général et objectifs spécifiques</w:t>
      </w:r>
    </w:p>
    <w:p>
      <w:pPr>
        <w:spacing w:before="200" w:after="80"/>
      </w:pPr>
      <w:r>
        <w:rPr>
          <w:rFonts w:ascii="Times New Roman" w:hAnsi="Times New Roman"/>
          <w:b/>
          <w:i w:val="0"/>
          <w:color w:val="1A4D2E"/>
          <w:sz w:val="22"/>
        </w:rPr>
        <w:t>Objectif général</w:t>
      </w:r>
    </w:p>
    <w:p>
      <w:pPr>
        <w:spacing w:before="0" w:after="160" w:line="360" w:lineRule="exact"/>
        <w:ind w:firstLine="709"/>
        <w:jc w:val="both"/>
      </w:pPr>
      <w:r>
        <w:rPr>
          <w:rFonts w:ascii="Times New Roman" w:hAnsi="Times New Roman"/>
          <w:b w:val="0"/>
          <w:i w:val="0"/>
          <w:color w:val="222222"/>
          <w:sz w:val="24"/>
        </w:rPr>
        <w:t>L'objectif général de cette étude est d'améliorer les performances de production de la chaîne 4 de la scierie industrielle CUF d'Ebolowa en établissant sa capacité théorique réelle, en mesurant sa production réelle, en diagnostiquant les causes des pertes et en proposant des actions correctives mesurables accompagnées d'un outil de pilotage adapté.</w:t>
      </w:r>
    </w:p>
    <w:p>
      <w:pPr>
        <w:spacing w:before="200" w:after="80"/>
      </w:pPr>
      <w:r>
        <w:rPr>
          <w:rFonts w:ascii="Times New Roman" w:hAnsi="Times New Roman"/>
          <w:b/>
          <w:i w:val="0"/>
          <w:color w:val="1A4D2E"/>
          <w:sz w:val="22"/>
        </w:rPr>
        <w:t>Objectifs spécifiques</w:t>
      </w:r>
    </w:p>
    <w:p>
      <w:pPr>
        <w:spacing w:before="0" w:after="160" w:line="360" w:lineRule="exact"/>
        <w:ind w:firstLine="709"/>
        <w:jc w:val="both"/>
      </w:pPr>
      <w:r>
        <w:rPr>
          <w:rFonts w:ascii="Times New Roman" w:hAnsi="Times New Roman"/>
          <w:b w:val="0"/>
          <w:i w:val="0"/>
          <w:color w:val="222222"/>
          <w:sz w:val="24"/>
        </w:rPr>
        <w:t>Pour atteindre cet objectif général, six objectifs spécifiques ont été définis. Le premier consiste à déterminer la capacité théorique réelle de la chaîne 4 à partir des caractéristiques techniques des machines et des essences transformées. Le deuxième vise à mesurer la production réelle de la chaîne à travers un système de collecte de données mis en place sur le terrain. Le troisième porte sur l'évaluation de l'écart entre la capacité théorique et la production réelle, le calcul du Taux de Rendement Synthétique (TRS) de la chaîne 4 et l'estimation du coût financier des pertes enregistrées. Le quatrième objectif est d'identifier et de hiérarchiser les causes responsables de cet écart à l'aide d'outils d'analyse appropriés. Le cinquième objectif vise à proposer des actions correctives prioritaires et à estimer les gains de production et les bénéfices financiers attendus de leur mise en œuvre. Enfin, le sixième objectif est de concevoir un outil de pilotage adapté aux besoins des différents responsables de CUF, afin d'assurer un suivi continu des performances de la chaîne 4.</w:t>
      </w:r>
    </w:p>
    <w:p>
      <w:pPr>
        <w:spacing w:before="280" w:after="120"/>
        <w:jc w:val="left"/>
      </w:pPr>
      <w:r>
        <w:rPr>
          <w:rFonts w:ascii="Times New Roman" w:hAnsi="Times New Roman"/>
          <w:b/>
          <w:i w:val="0"/>
          <w:color w:val="6B3A2A"/>
          <w:sz w:val="26"/>
        </w:rPr>
        <w:t>4.  Hypothèses de recherche</w:t>
      </w:r>
    </w:p>
    <w:p>
      <w:pPr>
        <w:spacing w:before="0" w:after="160" w:line="360" w:lineRule="exact"/>
        <w:ind w:firstLine="709"/>
        <w:jc w:val="both"/>
      </w:pPr>
      <w:r>
        <w:rPr>
          <w:rFonts w:ascii="Times New Roman" w:hAnsi="Times New Roman"/>
          <w:b w:val="0"/>
          <w:i w:val="0"/>
          <w:color w:val="222222"/>
          <w:sz w:val="24"/>
        </w:rPr>
        <w:t>Quatre hypothèses guident cette étude. La première postule que la capacité théorique réelle de la chaîne 4 est inférieure à l'objectif de 25 mètres cubes par poste actuellement fixé par CUF, ce qui remettrait en cause le bien-fondé même de cet objectif. La deuxième hypothèse avance que les pertes de performance sont principalement d'origine organisationnelle et opérationnelle, et non liées à des défaillances techniques des équipements — autrement dit, que des améliorations sont possibles sans remplacement de machines. La troisième hypothèse stipule qu'en l'absence de système de mesure, le TRS réel de la chaîne 4 est inférieur à 60 %, seuil en dessous duquel Jonsson et Lesshammar (1999) identifient une performance insuffisante justifiant une intervention structurée. La quatrième et dernière hypothèse est que des actions correctives ciblées, sans investissement majeur en équipement, permettent d'améliorer significativement le TRS et de réduire les pertes financières de manière mesurable.</w:t>
      </w:r>
    </w:p>
    <w:p/>
    <w:p>
      <w:pPr>
        <w:spacing w:before="120" w:after="120"/>
        <w:pBdr>
          <w:bottom w:val="single" w:sz="6" w:space="1" w:color="1A4D2E"/>
        </w:pBdr>
      </w:pPr>
    </w:p>
    <w:p>
      <w:pPr>
        <w:jc w:val="center"/>
      </w:pPr>
      <w:r>
        <w:rPr>
          <w:rFonts w:ascii="Times New Roman" w:hAnsi="Times New Roman"/>
          <w:b w:val="0"/>
          <w:i w:val="0"/>
          <w:color w:val="888888"/>
          <w:sz w:val="18"/>
        </w:rPr>
        <w:t>BWAME EBENGUE CARLOS YVAN  ·  21ISFS0606  ·  ISABEE — Université d'Ebolowa  ·  2025-2026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