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4B" w:rsidRDefault="00BC2950">
      <w:r w:rsidRPr="00BC2950">
        <w:t>Ce document récapitule l'exercice de conception</w:t>
      </w:r>
      <w:r>
        <w:t xml:space="preserve"> architecturale avec ADD réalisé en LOG430-01, automne 2015, cours 12.</w:t>
      </w:r>
    </w:p>
    <w:p w:rsidR="00096878" w:rsidRDefault="00096878">
      <w:r>
        <w:t>CE DOCUMENT N'EST PAS DESTINÉ À ÊTRE DISTRIBUÉ AUX ÉTUDIANTS. Il s'agit d'un document visant à structurer l'exercice pour les enseignants. L'exercice a été fait au tableau de façon interactive en LOG430-01, session A15.</w:t>
      </w:r>
    </w:p>
    <w:p w:rsidR="00BC2950" w:rsidRDefault="00BC2950">
      <w:r>
        <w:t>Pour les besoins de cet exercice, un document séparé de quatre pages a été fourni aux étudiants. Il s'agit essentiellement d'une traduction des spécifications du guichet automatique bancaire (GAB) utilisé au laboratoire 1, augmenté d'une restructuration des scénarios de qualité que le groupe a lui-même produit plus tôt cette session pour un GAB.</w:t>
      </w:r>
    </w:p>
    <w:p w:rsidR="00BC2950" w:rsidRDefault="00BC2950">
      <w:r>
        <w:t>L'exercice a aussi été réalisé avec ADD</w:t>
      </w:r>
      <w:r w:rsidR="007400DD">
        <w:t xml:space="preserve"> </w:t>
      </w:r>
      <w:r>
        <w:t xml:space="preserve">v1, mais avec des ajouts issus </w:t>
      </w:r>
      <w:proofErr w:type="gramStart"/>
      <w:r>
        <w:t>de ADD</w:t>
      </w:r>
      <w:proofErr w:type="gramEnd"/>
      <w:r>
        <w:t xml:space="preserve"> v3, qui est sur le point d'apparaître dans un nouveau livre en voie de publication. Toutefois, les étapes telles que numérotées dans ADD v1 ont été conservées.</w:t>
      </w:r>
    </w:p>
    <w:p w:rsidR="00BC2950" w:rsidRDefault="00BC2950" w:rsidP="00BC2950">
      <w:pPr>
        <w:pStyle w:val="Heading1"/>
      </w:pPr>
      <w:r>
        <w:t>Avant de commencer l'exercice</w:t>
      </w:r>
    </w:p>
    <w:p w:rsidR="00BC2950" w:rsidRDefault="00BC2950" w:rsidP="00BC2950">
      <w:r>
        <w:t>ADD requiert en entrée les Architectural Drivers, soit le sous-ensemble des exigences qui a un impact important sur l'architecture. Ce sous-ensemble est identifié de façon plus ou moins subjective.</w:t>
      </w:r>
    </w:p>
    <w:p w:rsidR="00BC2950" w:rsidRDefault="00BC2950" w:rsidP="00BC2950">
      <w:r>
        <w:t xml:space="preserve">Nous avons d'abord priorisé les scénarios de qualité avec les deux priorités, comme dans une ATAM (importance du scénario pour le succès du système, et difficulté anticipée à accommoder le scénario dans l'architecture). </w:t>
      </w:r>
      <w:r w:rsidR="00A724BA">
        <w:t xml:space="preserve">Ceci a été fait informellement de façon interactive avec tout le groupe. Ça a généré des discussions intéressantes. </w:t>
      </w:r>
      <w:r>
        <w:t xml:space="preserve">ADD v3 propose aussi de lier chaque scénario de qualité à tous les cas d'utilisation pertinents. </w:t>
      </w:r>
      <w:r w:rsidR="007400DD">
        <w:t xml:space="preserve">Ceci est éventuellement utile pour "allouer" les scénarios de qualité aux éléments architecturaux. </w:t>
      </w:r>
      <w:r>
        <w:t>Voici le résultat pour le groupe LOG430-01 A15</w:t>
      </w:r>
      <w:r w:rsidR="009D25D9">
        <w:t>. Les scénarios surlignés ont été retenus comme Architectural Drivers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1713"/>
        <w:gridCol w:w="1560"/>
        <w:gridCol w:w="3678"/>
      </w:tblGrid>
      <w:tr w:rsidR="00BC2950" w:rsidRPr="001A2D24" w:rsidTr="00A724BA">
        <w:trPr>
          <w:jc w:val="center"/>
        </w:trPr>
        <w:tc>
          <w:tcPr>
            <w:tcW w:w="969" w:type="dxa"/>
            <w:shd w:val="clear" w:color="auto" w:fill="FABF8F" w:themeFill="accent6" w:themeFillTint="99"/>
            <w:vAlign w:val="center"/>
          </w:tcPr>
          <w:p w:rsidR="00BC2950" w:rsidRPr="001A2D24" w:rsidRDefault="00BC2950" w:rsidP="00A724BA">
            <w:pPr>
              <w:jc w:val="center"/>
            </w:pPr>
            <w:r>
              <w:t>ID scénario</w:t>
            </w:r>
          </w:p>
        </w:tc>
        <w:tc>
          <w:tcPr>
            <w:tcW w:w="1713" w:type="dxa"/>
            <w:shd w:val="clear" w:color="auto" w:fill="FABF8F" w:themeFill="accent6" w:themeFillTint="99"/>
            <w:vAlign w:val="center"/>
          </w:tcPr>
          <w:p w:rsidR="00BC2950" w:rsidRPr="001A2D24" w:rsidRDefault="00BC2950" w:rsidP="00A724BA">
            <w:pPr>
              <w:jc w:val="center"/>
            </w:pPr>
            <w:r>
              <w:t>Importance pour succès</w:t>
            </w:r>
          </w:p>
        </w:tc>
        <w:tc>
          <w:tcPr>
            <w:tcW w:w="1560" w:type="dxa"/>
            <w:shd w:val="clear" w:color="auto" w:fill="FABF8F" w:themeFill="accent6" w:themeFillTint="99"/>
            <w:vAlign w:val="center"/>
          </w:tcPr>
          <w:p w:rsidR="00BC2950" w:rsidRPr="001A2D24" w:rsidRDefault="00BC2950" w:rsidP="00A724BA">
            <w:pPr>
              <w:jc w:val="center"/>
            </w:pPr>
            <w:r>
              <w:t>Difficulté à accommoder</w:t>
            </w:r>
          </w:p>
        </w:tc>
        <w:tc>
          <w:tcPr>
            <w:tcW w:w="3678" w:type="dxa"/>
            <w:shd w:val="clear" w:color="auto" w:fill="FABF8F" w:themeFill="accent6" w:themeFillTint="99"/>
            <w:vAlign w:val="center"/>
          </w:tcPr>
          <w:p w:rsidR="00BC2950" w:rsidRPr="001A2D24" w:rsidRDefault="00BC2950" w:rsidP="00A724BA">
            <w:pPr>
              <w:jc w:val="center"/>
            </w:pPr>
            <w:r>
              <w:t>Cas d'utilisation pertinents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 w:rsidRPr="001A2D24">
              <w:t>D1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L</w:t>
            </w:r>
          </w:p>
        </w:tc>
        <w:tc>
          <w:tcPr>
            <w:tcW w:w="1560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Tous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  <w:shd w:val="clear" w:color="auto" w:fill="FFFF00"/>
          </w:tcPr>
          <w:p w:rsidR="00BC2950" w:rsidRPr="001A2D24" w:rsidRDefault="00BC2950" w:rsidP="00AA2F4B">
            <w:r>
              <w:t>D2</w:t>
            </w:r>
          </w:p>
        </w:tc>
        <w:tc>
          <w:tcPr>
            <w:tcW w:w="1713" w:type="dxa"/>
            <w:shd w:val="clear" w:color="auto" w:fill="FFFF00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BC2950" w:rsidRPr="001A2D24" w:rsidRDefault="0014258D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CU3-4-5-6-7-8, ext.1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  <w:shd w:val="clear" w:color="auto" w:fill="FFFF00"/>
          </w:tcPr>
          <w:p w:rsidR="00BC2950" w:rsidRPr="001A2D24" w:rsidRDefault="00BC2950" w:rsidP="00AA2F4B">
            <w:r>
              <w:t>D3</w:t>
            </w:r>
          </w:p>
        </w:tc>
        <w:tc>
          <w:tcPr>
            <w:tcW w:w="1713" w:type="dxa"/>
            <w:shd w:val="clear" w:color="auto" w:fill="FFFF00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BC2950" w:rsidRPr="001A2D24" w:rsidRDefault="0014258D" w:rsidP="00BC2950">
            <w:pPr>
              <w:jc w:val="center"/>
            </w:pPr>
            <w:r>
              <w:t>H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CU3-4-5-6-7-8, ext.1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  <w:shd w:val="clear" w:color="auto" w:fill="auto"/>
          </w:tcPr>
          <w:p w:rsidR="00BC2950" w:rsidRPr="001A2D24" w:rsidRDefault="00BC2950" w:rsidP="00AA2F4B">
            <w:r>
              <w:t>D4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C2950" w:rsidRPr="001A2D24" w:rsidRDefault="0014258D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D5</w:t>
            </w:r>
          </w:p>
        </w:tc>
        <w:tc>
          <w:tcPr>
            <w:tcW w:w="1713" w:type="dxa"/>
            <w:vAlign w:val="center"/>
          </w:tcPr>
          <w:p w:rsidR="00BC2950" w:rsidRPr="001A2D24" w:rsidRDefault="0014258D" w:rsidP="00BC2950">
            <w:pPr>
              <w:jc w:val="center"/>
            </w:pPr>
            <w:r>
              <w:t>n/a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560" w:type="dxa"/>
            <w:vAlign w:val="center"/>
          </w:tcPr>
          <w:p w:rsidR="00BC2950" w:rsidRPr="001A2D24" w:rsidRDefault="0014258D" w:rsidP="00BC2950">
            <w:pPr>
              <w:jc w:val="center"/>
            </w:pPr>
            <w:r>
              <w:t>n/a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CU3-4-5-6-7-8, ext1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M1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L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M2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L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P1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M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CU3-4-5-6-7-8, ext1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P2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M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S1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D44B89" w:rsidP="00AA2F4B">
            <w:r>
              <w:t>CU3-4-5, ext1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  <w:shd w:val="clear" w:color="auto" w:fill="FFFF00"/>
          </w:tcPr>
          <w:p w:rsidR="00BC2950" w:rsidRPr="001A2D24" w:rsidRDefault="00BC2950" w:rsidP="00AA2F4B">
            <w:r>
              <w:t>T1</w:t>
            </w:r>
          </w:p>
        </w:tc>
        <w:tc>
          <w:tcPr>
            <w:tcW w:w="1713" w:type="dxa"/>
            <w:shd w:val="clear" w:color="auto" w:fill="FFFF00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9D25D9" w:rsidP="00AA2F4B">
            <w:r>
              <w:t>CU3-4-5-6-7-8, ext1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</w:tcPr>
          <w:p w:rsidR="00BC2950" w:rsidRPr="001A2D24" w:rsidRDefault="00BC2950" w:rsidP="00AA2F4B">
            <w:r>
              <w:t>U1</w:t>
            </w:r>
          </w:p>
        </w:tc>
        <w:tc>
          <w:tcPr>
            <w:tcW w:w="1713" w:type="dxa"/>
            <w:vAlign w:val="center"/>
          </w:tcPr>
          <w:p w:rsidR="00BC2950" w:rsidRPr="001A2D24" w:rsidRDefault="00BC2950" w:rsidP="00BC2950">
            <w:pPr>
              <w:jc w:val="center"/>
            </w:pPr>
            <w:r>
              <w:t>M</w:t>
            </w:r>
          </w:p>
        </w:tc>
        <w:tc>
          <w:tcPr>
            <w:tcW w:w="1560" w:type="dxa"/>
            <w:vAlign w:val="center"/>
          </w:tcPr>
          <w:p w:rsidR="00BC2950" w:rsidRPr="001A2D24" w:rsidRDefault="00D44B89" w:rsidP="00BC2950">
            <w:pPr>
              <w:jc w:val="center"/>
            </w:pPr>
            <w:r>
              <w:t>L</w:t>
            </w:r>
          </w:p>
        </w:tc>
        <w:tc>
          <w:tcPr>
            <w:tcW w:w="3678" w:type="dxa"/>
          </w:tcPr>
          <w:p w:rsidR="00BC2950" w:rsidRPr="001A2D24" w:rsidRDefault="009D25D9" w:rsidP="00AA2F4B">
            <w:r>
              <w:t>CU3-4-5-6-7-8</w:t>
            </w:r>
          </w:p>
        </w:tc>
      </w:tr>
      <w:tr w:rsidR="00BC2950" w:rsidRPr="001A2D24" w:rsidTr="00A724BA">
        <w:trPr>
          <w:jc w:val="center"/>
        </w:trPr>
        <w:tc>
          <w:tcPr>
            <w:tcW w:w="969" w:type="dxa"/>
            <w:shd w:val="clear" w:color="auto" w:fill="FFFF00"/>
          </w:tcPr>
          <w:p w:rsidR="00BC2950" w:rsidRPr="001A2D24" w:rsidRDefault="00BC2950" w:rsidP="00AA2F4B">
            <w:r>
              <w:t>Port1</w:t>
            </w:r>
          </w:p>
        </w:tc>
        <w:tc>
          <w:tcPr>
            <w:tcW w:w="1713" w:type="dxa"/>
            <w:shd w:val="clear" w:color="auto" w:fill="FFFF00"/>
            <w:vAlign w:val="center"/>
          </w:tcPr>
          <w:p w:rsidR="00BC2950" w:rsidRPr="001A2D24" w:rsidRDefault="00BC2950" w:rsidP="00BC2950">
            <w:pPr>
              <w:jc w:val="center"/>
            </w:pPr>
            <w:r>
              <w:t>H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BC2950" w:rsidRPr="001A2D24" w:rsidRDefault="00D44B89" w:rsidP="00BC2950">
            <w:pPr>
              <w:jc w:val="center"/>
            </w:pPr>
            <w:r>
              <w:t>TBD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3678" w:type="dxa"/>
          </w:tcPr>
          <w:p w:rsidR="00BC2950" w:rsidRPr="001A2D24" w:rsidRDefault="009D25D9" w:rsidP="00AA2F4B">
            <w:r>
              <w:t>CU1-2-3-4-5-6-7-8, ext1</w:t>
            </w:r>
          </w:p>
        </w:tc>
      </w:tr>
    </w:tbl>
    <w:p w:rsidR="009D25D9" w:rsidRDefault="009D25D9" w:rsidP="00BC2950">
      <w:r>
        <w:lastRenderedPageBreak/>
        <w:t>Pour les cas d'utilisation, il a été décidé collectivement d'y aller au plus simple pour cette première itération. CU3 et CU4 sont incontournables, car à la base de tou</w:t>
      </w:r>
      <w:r w:rsidR="00B02A44">
        <w:t>t</w:t>
      </w:r>
      <w:r>
        <w:t xml:space="preserve">. Certains argumentaient qu'on pourrait s'en tenir à ça. D'autres argumentaient que ce serait bien de concevoir pour au moins une fonction concrète parmi les quatre. Comment choisir? Proposition: ce qui est le plus critique pour le succès. Autre critère: ce qui sollicite un maximum d'éléments du système. Autre critère: ce qui est le plus risqué (plusieurs étudiants souhaitaient commencer par ce qui est le plus facile, </w:t>
      </w:r>
      <w:r w:rsidR="00B02A44">
        <w:t xml:space="preserve">priorité "L" dans colonne "difficulté à accommoder", </w:t>
      </w:r>
      <w:r>
        <w:t>ce qui va à l'encontre d'une bonne gestion du risque). Le transfert semblait au départ un bon candidat (2 comptes à spécifier, 2 opérations), mais ce choix sollicite un minimum d'éléments périphériques. Le dépôt et le retrait sont égaux par rapport à cet aspect, le retrait a été retenu comme étant l'opération la plus courante.</w:t>
      </w:r>
      <w:r w:rsidR="00BF6CE7">
        <w:t xml:space="preserve"> </w:t>
      </w:r>
      <w:r>
        <w:t>Donc CU3-4-5 sont les "</w:t>
      </w:r>
      <w:r w:rsidR="00BF6CE7">
        <w:t>A</w:t>
      </w:r>
      <w:r>
        <w:t>rchitectu</w:t>
      </w:r>
      <w:r w:rsidR="00BF6CE7">
        <w:t>r</w:t>
      </w:r>
      <w:r>
        <w:t>al Drivers" fonctionnels.</w:t>
      </w:r>
    </w:p>
    <w:p w:rsidR="00BF6CE7" w:rsidRDefault="00BF6CE7" w:rsidP="00BC2950">
      <w:r>
        <w:t>Enfin, on a d'abord choisi CT3-4 parmi les contraintes, mais on s'est vite rendu compte qu'il fallait aussi considérer CT2.</w:t>
      </w:r>
    </w:p>
    <w:p w:rsidR="00BF6CE7" w:rsidRDefault="007400DD" w:rsidP="00BC2950">
      <w:r>
        <w:t xml:space="preserve">Il est suggéré </w:t>
      </w:r>
      <w:r w:rsidR="00BF6CE7">
        <w:t>de saisir comme suit les "architectu</w:t>
      </w:r>
      <w:r w:rsidR="00800FBB">
        <w:t>r</w:t>
      </w:r>
      <w:r w:rsidR="00BF6CE7">
        <w:t>al drivers" de départ: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4961"/>
      </w:tblGrid>
      <w:tr w:rsidR="00BF6CE7" w:rsidTr="00800FBB">
        <w:tc>
          <w:tcPr>
            <w:tcW w:w="3369" w:type="dxa"/>
          </w:tcPr>
          <w:p w:rsidR="00BF6CE7" w:rsidRDefault="00BF6CE7" w:rsidP="00BF6CE7">
            <w:r>
              <w:t>Exigences fonctionnelles</w:t>
            </w:r>
          </w:p>
        </w:tc>
        <w:tc>
          <w:tcPr>
            <w:tcW w:w="4961" w:type="dxa"/>
          </w:tcPr>
          <w:p w:rsidR="00BF6CE7" w:rsidRDefault="00BF6CE7" w:rsidP="00BF6CE7">
            <w:pPr>
              <w:pStyle w:val="ListParagraph"/>
              <w:numPr>
                <w:ilvl w:val="0"/>
                <w:numId w:val="1"/>
              </w:numPr>
            </w:pPr>
            <w:r>
              <w:t>CU3 - session</w:t>
            </w:r>
          </w:p>
          <w:p w:rsidR="00BF6CE7" w:rsidRDefault="00BF6CE7" w:rsidP="00BF6CE7">
            <w:pPr>
              <w:pStyle w:val="ListParagraph"/>
              <w:numPr>
                <w:ilvl w:val="0"/>
                <w:numId w:val="1"/>
              </w:numPr>
            </w:pPr>
            <w:r>
              <w:t>CU4 - transaction</w:t>
            </w:r>
          </w:p>
          <w:p w:rsidR="00BF6CE7" w:rsidRDefault="00BF6CE7" w:rsidP="00BF6CE7">
            <w:pPr>
              <w:pStyle w:val="ListParagraph"/>
              <w:numPr>
                <w:ilvl w:val="0"/>
                <w:numId w:val="1"/>
              </w:numPr>
            </w:pPr>
            <w:r>
              <w:t xml:space="preserve">CU5 </w:t>
            </w:r>
            <w:r w:rsidR="00B02A44">
              <w:t>–</w:t>
            </w:r>
            <w:r>
              <w:t xml:space="preserve"> retrait</w:t>
            </w:r>
          </w:p>
        </w:tc>
      </w:tr>
      <w:tr w:rsidR="00BF6CE7" w:rsidTr="00800FBB">
        <w:tc>
          <w:tcPr>
            <w:tcW w:w="3369" w:type="dxa"/>
          </w:tcPr>
          <w:p w:rsidR="00BF6CE7" w:rsidRDefault="00BF6CE7" w:rsidP="00BC2950">
            <w:r>
              <w:t>Exigences d'attributs de qualité</w:t>
            </w:r>
          </w:p>
        </w:tc>
        <w:tc>
          <w:tcPr>
            <w:tcW w:w="4961" w:type="dxa"/>
          </w:tcPr>
          <w:p w:rsidR="00800FBB" w:rsidRDefault="00800FBB" w:rsidP="00BF6CE7">
            <w:pPr>
              <w:pStyle w:val="ListParagraph"/>
              <w:numPr>
                <w:ilvl w:val="0"/>
                <w:numId w:val="2"/>
              </w:numPr>
            </w:pPr>
            <w:r>
              <w:t>D2 – Processus GAB complet en panne</w:t>
            </w:r>
          </w:p>
          <w:p w:rsidR="00BF6CE7" w:rsidRDefault="00BF6CE7" w:rsidP="00800FBB">
            <w:pPr>
              <w:pStyle w:val="ListParagraph"/>
              <w:numPr>
                <w:ilvl w:val="0"/>
                <w:numId w:val="2"/>
              </w:numPr>
            </w:pPr>
            <w:r>
              <w:t>D3 – connexion réseau GAB-banque</w:t>
            </w:r>
          </w:p>
          <w:p w:rsidR="00BF6CE7" w:rsidRDefault="00BF6CE7" w:rsidP="00BF6CE7">
            <w:pPr>
              <w:pStyle w:val="ListParagraph"/>
              <w:numPr>
                <w:ilvl w:val="0"/>
                <w:numId w:val="2"/>
              </w:numPr>
            </w:pPr>
            <w:r>
              <w:t xml:space="preserve">T1 </w:t>
            </w:r>
            <w:r w:rsidR="00800FBB">
              <w:t>–</w:t>
            </w:r>
            <w:r>
              <w:t xml:space="preserve"> </w:t>
            </w:r>
            <w:r w:rsidR="00800FBB">
              <w:t>tests unitaires transactions</w:t>
            </w:r>
          </w:p>
          <w:p w:rsidR="00BF6CE7" w:rsidRDefault="00BF6CE7" w:rsidP="00BF6CE7">
            <w:pPr>
              <w:pStyle w:val="ListParagraph"/>
              <w:numPr>
                <w:ilvl w:val="0"/>
                <w:numId w:val="2"/>
              </w:numPr>
            </w:pPr>
            <w:r>
              <w:t>Port1</w:t>
            </w:r>
            <w:r w:rsidR="00800FBB">
              <w:t xml:space="preserve"> – connectivité ISO 8583</w:t>
            </w:r>
          </w:p>
        </w:tc>
      </w:tr>
      <w:tr w:rsidR="00BF6CE7" w:rsidTr="00800FBB">
        <w:tc>
          <w:tcPr>
            <w:tcW w:w="3369" w:type="dxa"/>
          </w:tcPr>
          <w:p w:rsidR="00BF6CE7" w:rsidRDefault="00800FBB" w:rsidP="00BC2950">
            <w:r>
              <w:t>Contraintes</w:t>
            </w:r>
          </w:p>
        </w:tc>
        <w:tc>
          <w:tcPr>
            <w:tcW w:w="4961" w:type="dxa"/>
          </w:tcPr>
          <w:p w:rsidR="00BF6CE7" w:rsidRDefault="00800FBB" w:rsidP="00800FBB">
            <w:pPr>
              <w:pStyle w:val="ListParagraph"/>
              <w:numPr>
                <w:ilvl w:val="0"/>
                <w:numId w:val="3"/>
              </w:numPr>
            </w:pPr>
            <w:r>
              <w:t>CT2 – API CEN XFS</w:t>
            </w:r>
          </w:p>
          <w:p w:rsidR="00800FBB" w:rsidRDefault="00800FBB" w:rsidP="00800FBB">
            <w:pPr>
              <w:pStyle w:val="ListParagraph"/>
              <w:numPr>
                <w:ilvl w:val="0"/>
                <w:numId w:val="3"/>
              </w:numPr>
            </w:pPr>
            <w:r>
              <w:t>CT3 – Communication TCP/IP sur Ethernet</w:t>
            </w:r>
          </w:p>
          <w:p w:rsidR="00800FBB" w:rsidRDefault="00800FBB" w:rsidP="00800FBB">
            <w:pPr>
              <w:pStyle w:val="ListParagraph"/>
              <w:numPr>
                <w:ilvl w:val="0"/>
                <w:numId w:val="3"/>
              </w:numPr>
            </w:pPr>
            <w:r>
              <w:t xml:space="preserve">CT4 – Connectivité </w:t>
            </w:r>
            <w:proofErr w:type="spellStart"/>
            <w:r>
              <w:t>Interac</w:t>
            </w:r>
            <w:proofErr w:type="spellEnd"/>
          </w:p>
        </w:tc>
      </w:tr>
      <w:tr w:rsidR="001E16A6" w:rsidTr="00800FBB">
        <w:tc>
          <w:tcPr>
            <w:tcW w:w="3369" w:type="dxa"/>
          </w:tcPr>
          <w:p w:rsidR="001E16A6" w:rsidRDefault="001E16A6" w:rsidP="00BC2950">
            <w:r>
              <w:t>Préoccupations (développement d'un nouveau système dans un domaine mature)</w:t>
            </w:r>
          </w:p>
        </w:tc>
        <w:tc>
          <w:tcPr>
            <w:tcW w:w="4961" w:type="dxa"/>
          </w:tcPr>
          <w:p w:rsidR="001E16A6" w:rsidRDefault="001E16A6" w:rsidP="00800FBB">
            <w:pPr>
              <w:pStyle w:val="ListParagraph"/>
              <w:numPr>
                <w:ilvl w:val="0"/>
                <w:numId w:val="3"/>
              </w:numPr>
            </w:pPr>
            <w:r>
              <w:t>Proposer une structure initiale du système</w:t>
            </w:r>
          </w:p>
          <w:p w:rsidR="001E16A6" w:rsidRDefault="001E16A6" w:rsidP="00800FBB">
            <w:pPr>
              <w:pStyle w:val="ListParagraph"/>
              <w:numPr>
                <w:ilvl w:val="0"/>
                <w:numId w:val="3"/>
              </w:numPr>
            </w:pPr>
            <w:r>
              <w:t>Proposer des structures pour les fonctions principales</w:t>
            </w:r>
          </w:p>
          <w:p w:rsidR="001E16A6" w:rsidRDefault="001E16A6" w:rsidP="001E16A6">
            <w:pPr>
              <w:pStyle w:val="ListParagraph"/>
              <w:numPr>
                <w:ilvl w:val="0"/>
                <w:numId w:val="3"/>
              </w:numPr>
            </w:pPr>
            <w:r>
              <w:t>Proposer des structures pour les qualités principales</w:t>
            </w:r>
          </w:p>
        </w:tc>
      </w:tr>
    </w:tbl>
    <w:p w:rsidR="00BF6CE7" w:rsidRDefault="00BF6CE7" w:rsidP="00BC2950"/>
    <w:p w:rsidR="00800FBB" w:rsidRDefault="00B02A44" w:rsidP="00B02A44">
      <w:pPr>
        <w:pStyle w:val="Heading1"/>
      </w:pPr>
      <w:r>
        <w:t>ADD, itération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399"/>
      </w:tblGrid>
      <w:tr w:rsidR="00B02A44" w:rsidTr="00B02A44">
        <w:trPr>
          <w:tblHeader/>
        </w:trPr>
        <w:tc>
          <w:tcPr>
            <w:tcW w:w="1101" w:type="dxa"/>
            <w:shd w:val="clear" w:color="auto" w:fill="FABF8F" w:themeFill="accent6" w:themeFillTint="99"/>
            <w:vAlign w:val="center"/>
          </w:tcPr>
          <w:p w:rsidR="00B02A44" w:rsidRDefault="00B02A44" w:rsidP="00B02A44">
            <w:pPr>
              <w:jc w:val="center"/>
            </w:pPr>
            <w:r>
              <w:t>Étape</w:t>
            </w:r>
          </w:p>
        </w:tc>
        <w:tc>
          <w:tcPr>
            <w:tcW w:w="8399" w:type="dxa"/>
            <w:shd w:val="clear" w:color="auto" w:fill="FABF8F" w:themeFill="accent6" w:themeFillTint="99"/>
            <w:vAlign w:val="center"/>
          </w:tcPr>
          <w:p w:rsidR="00B02A44" w:rsidRDefault="00B02A44" w:rsidP="00B02A44">
            <w:pPr>
              <w:jc w:val="center"/>
            </w:pPr>
            <w:r>
              <w:t>Détails</w:t>
            </w:r>
          </w:p>
        </w:tc>
      </w:tr>
      <w:tr w:rsidR="00B02A44" w:rsidTr="00B02A44">
        <w:tc>
          <w:tcPr>
            <w:tcW w:w="1101" w:type="dxa"/>
          </w:tcPr>
          <w:p w:rsidR="00B02A44" w:rsidRDefault="00B02A44" w:rsidP="00B02A4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99" w:type="dxa"/>
          </w:tcPr>
          <w:p w:rsidR="00B02A44" w:rsidRDefault="00B02A44" w:rsidP="007400DD">
            <w:r>
              <w:t xml:space="preserve">L'élément architectural est tout le GAB. </w:t>
            </w:r>
            <w:r w:rsidR="007400DD">
              <w:t xml:space="preserve">il est recommandé </w:t>
            </w:r>
            <w:r>
              <w:t xml:space="preserve">de démarrer avec un diagramme de contexte. Le GAB est interconnecté à deux systèmes externes, soit le réseau </w:t>
            </w:r>
            <w:proofErr w:type="spellStart"/>
            <w:r>
              <w:t>Interac</w:t>
            </w:r>
            <w:proofErr w:type="spellEnd"/>
            <w:r>
              <w:t xml:space="preserve"> et la banque. Pas clair que le premier n'inclut pas le second, TBD. Diagramme omis ici par manque de ressources.</w:t>
            </w:r>
          </w:p>
        </w:tc>
      </w:tr>
      <w:tr w:rsidR="00A16F53" w:rsidTr="00AA2F4B">
        <w:trPr>
          <w:trHeight w:val="2803"/>
        </w:trPr>
        <w:tc>
          <w:tcPr>
            <w:tcW w:w="1101" w:type="dxa"/>
          </w:tcPr>
          <w:p w:rsidR="00A16F53" w:rsidRDefault="00A16F53" w:rsidP="00B02A44">
            <w:r>
              <w:lastRenderedPageBreak/>
              <w:t>2a.</w:t>
            </w:r>
          </w:p>
        </w:tc>
        <w:tc>
          <w:tcPr>
            <w:tcW w:w="8399" w:type="dxa"/>
          </w:tcPr>
          <w:p w:rsidR="00A16F53" w:rsidRDefault="00A16F53" w:rsidP="00A16F53">
            <w:r>
              <w:t>Tous les "architectural drivers" ci-haut sont pertinents pour cette itération: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1"/>
              </w:numPr>
            </w:pPr>
            <w:r>
              <w:t>CU3 - session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1"/>
              </w:numPr>
            </w:pPr>
            <w:r>
              <w:t>CU4 - transaction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1"/>
              </w:numPr>
            </w:pPr>
            <w:r>
              <w:t>CU5 – retrait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2"/>
              </w:numPr>
            </w:pPr>
            <w:r>
              <w:t>D2 – Processus GAB complet en panne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2"/>
              </w:numPr>
            </w:pPr>
            <w:r>
              <w:t>D3 – connexion réseau GAB-banque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2"/>
              </w:numPr>
            </w:pPr>
            <w:r>
              <w:t>T1 – tests unitaires transactions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2"/>
              </w:numPr>
            </w:pPr>
            <w:r>
              <w:t>Port1 – connectivité ISO 8583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3"/>
              </w:numPr>
            </w:pPr>
            <w:r>
              <w:t>CT2 – API CEN XFS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3"/>
              </w:numPr>
            </w:pPr>
            <w:r>
              <w:t>CT3 – Communication TCP/IP sur Ethernet</w:t>
            </w:r>
          </w:p>
          <w:p w:rsidR="00A16F53" w:rsidRDefault="00A16F53" w:rsidP="00AA2F4B">
            <w:pPr>
              <w:pStyle w:val="ListParagraph"/>
              <w:numPr>
                <w:ilvl w:val="0"/>
                <w:numId w:val="3"/>
              </w:numPr>
            </w:pPr>
            <w:r>
              <w:t xml:space="preserve">CT4 – Connectivité </w:t>
            </w:r>
            <w:proofErr w:type="spellStart"/>
            <w:r>
              <w:t>Interac</w:t>
            </w:r>
            <w:proofErr w:type="spellEnd"/>
          </w:p>
        </w:tc>
      </w:tr>
      <w:tr w:rsidR="00A16F53" w:rsidTr="00B02A44">
        <w:tc>
          <w:tcPr>
            <w:tcW w:w="1101" w:type="dxa"/>
          </w:tcPr>
          <w:p w:rsidR="00A16F53" w:rsidRDefault="00A16F53" w:rsidP="00B02A44">
            <w:r>
              <w:t>2b.</w:t>
            </w:r>
          </w:p>
        </w:tc>
        <w:tc>
          <w:tcPr>
            <w:tcW w:w="8399" w:type="dxa"/>
          </w:tcPr>
          <w:p w:rsidR="00A16F53" w:rsidRDefault="00A16F53" w:rsidP="00B02A44">
            <w:r>
              <w:t xml:space="preserve">Il est </w:t>
            </w:r>
            <w:r w:rsidR="007400DD">
              <w:t>recommandé</w:t>
            </w:r>
            <w:r>
              <w:t xml:space="preserve"> ici d'essayer de trouver une architecture de référence. De telles architectures existent typiquement dans des domaines maitrisés (applications web, Rich Internet Applications, applications mobiles, </w:t>
            </w:r>
            <w:proofErr w:type="spellStart"/>
            <w:r>
              <w:t>etc</w:t>
            </w:r>
            <w:proofErr w:type="spellEnd"/>
            <w:r>
              <w:t>). Pour un GAB, nous n'avons rien trouvé, et avons dû identifier des styles et tactiques pertinents. Une pause d'apprentissage avec directive d'identifier des tactiques candidates et des patrons candidats a donné ce qui suit:</w:t>
            </w:r>
          </w:p>
          <w:p w:rsidR="007400DD" w:rsidRDefault="007400DD" w:rsidP="00B02A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4"/>
              <w:gridCol w:w="4084"/>
            </w:tblGrid>
            <w:tr w:rsidR="00A16F53" w:rsidTr="007400DD">
              <w:tc>
                <w:tcPr>
                  <w:tcW w:w="4084" w:type="dxa"/>
                  <w:shd w:val="clear" w:color="auto" w:fill="FABF8F" w:themeFill="accent6" w:themeFillTint="99"/>
                  <w:vAlign w:val="center"/>
                </w:tcPr>
                <w:p w:rsidR="00A16F53" w:rsidRDefault="00A16F53" w:rsidP="007400DD">
                  <w:pPr>
                    <w:jc w:val="center"/>
                  </w:pPr>
                  <w:r>
                    <w:t>Décision</w:t>
                  </w:r>
                  <w:r w:rsidR="007400DD">
                    <w:t>, localisation</w:t>
                  </w:r>
                </w:p>
              </w:tc>
              <w:tc>
                <w:tcPr>
                  <w:tcW w:w="4084" w:type="dxa"/>
                  <w:shd w:val="clear" w:color="auto" w:fill="FABF8F" w:themeFill="accent6" w:themeFillTint="99"/>
                  <w:vAlign w:val="center"/>
                </w:tcPr>
                <w:p w:rsidR="00A16F53" w:rsidRDefault="00A16F53" w:rsidP="007400DD">
                  <w:pPr>
                    <w:jc w:val="center"/>
                  </w:pPr>
                  <w:r>
                    <w:t>Exposé des motifs</w:t>
                  </w:r>
                </w:p>
              </w:tc>
            </w:tr>
            <w:tr w:rsidR="00A16F53" w:rsidTr="00A16F53">
              <w:tc>
                <w:tcPr>
                  <w:tcW w:w="4084" w:type="dxa"/>
                </w:tcPr>
                <w:p w:rsidR="00A16F53" w:rsidRDefault="00A16F53" w:rsidP="00B02A44">
                  <w:r>
                    <w:t xml:space="preserve">Tactique </w:t>
                  </w:r>
                  <w:proofErr w:type="spellStart"/>
                  <w:r>
                    <w:t>heartbeat</w:t>
                  </w:r>
                  <w:proofErr w:type="spellEnd"/>
                  <w:r>
                    <w:t xml:space="preserve"> du GAB vers la centrale. Une exigence spécifie 15s de délai maximal de détection de panne, nous avons fixé le </w:t>
                  </w:r>
                  <w:proofErr w:type="spellStart"/>
                  <w:r>
                    <w:t>heartbeat</w:t>
                  </w:r>
                  <w:proofErr w:type="spellEnd"/>
                  <w:r>
                    <w:t xml:space="preserve"> à une période de 10 s pour garder de la marge.</w:t>
                  </w:r>
                </w:p>
              </w:tc>
              <w:tc>
                <w:tcPr>
                  <w:tcW w:w="4084" w:type="dxa"/>
                </w:tcPr>
                <w:p w:rsidR="00A16F53" w:rsidRDefault="00F04C64" w:rsidP="00B02A44">
                  <w:r>
                    <w:t>D2 - Pour détecter la perte du GAB à partir de la centrale en moins de 15s</w:t>
                  </w:r>
                </w:p>
              </w:tc>
            </w:tr>
            <w:tr w:rsidR="00A16F53" w:rsidTr="00A16F53">
              <w:tc>
                <w:tcPr>
                  <w:tcW w:w="4084" w:type="dxa"/>
                </w:tcPr>
                <w:p w:rsidR="00A16F53" w:rsidRDefault="00F04C64" w:rsidP="00B02A44">
                  <w:r>
                    <w:t>Ping/</w:t>
                  </w:r>
                  <w:proofErr w:type="spellStart"/>
                  <w:r>
                    <w:t>echo</w:t>
                  </w:r>
                  <w:proofErr w:type="spellEnd"/>
                  <w:r>
                    <w:t xml:space="preserve"> du GAB vers la centrale</w:t>
                  </w:r>
                  <w:r w:rsidR="007400DD">
                    <w:t>, fréquence TBD.</w:t>
                  </w:r>
                </w:p>
              </w:tc>
              <w:tc>
                <w:tcPr>
                  <w:tcW w:w="4084" w:type="dxa"/>
                </w:tcPr>
                <w:p w:rsidR="00A16F53" w:rsidRDefault="00F04C64" w:rsidP="00B02A44">
                  <w:r>
                    <w:t>D3 – Pour détecter dans le GAB la perte de connexion entre le GAB et la centrale</w:t>
                  </w:r>
                </w:p>
              </w:tc>
            </w:tr>
            <w:tr w:rsidR="00A16F53" w:rsidTr="00A16F53">
              <w:tc>
                <w:tcPr>
                  <w:tcW w:w="4084" w:type="dxa"/>
                </w:tcPr>
                <w:p w:rsidR="00A16F53" w:rsidRDefault="00F04C64" w:rsidP="00B02A44">
                  <w:r>
                    <w:t>Utilisation du style architectural déploiement, en se concentrant d'abord sur le matériel (vue physique)</w:t>
                  </w:r>
                </w:p>
              </w:tc>
              <w:tc>
                <w:tcPr>
                  <w:tcW w:w="4084" w:type="dxa"/>
                </w:tcPr>
                <w:p w:rsidR="00A16F53" w:rsidRDefault="00F04C64" w:rsidP="00B02A44">
                  <w:r>
                    <w:t>Afin de raisonner à propos des connexions entre le "cœur" du guichet et tous ses périphériques</w:t>
                  </w:r>
                </w:p>
              </w:tc>
            </w:tr>
            <w:tr w:rsidR="00A16F53" w:rsidTr="00A16F53">
              <w:tc>
                <w:tcPr>
                  <w:tcW w:w="4084" w:type="dxa"/>
                </w:tcPr>
                <w:p w:rsidR="00A16F53" w:rsidRDefault="00F04C64" w:rsidP="00F04C64">
                  <w:r>
                    <w:t>Utilisation du style architectural client-serveur</w:t>
                  </w:r>
                </w:p>
              </w:tc>
              <w:tc>
                <w:tcPr>
                  <w:tcW w:w="4084" w:type="dxa"/>
                </w:tcPr>
                <w:p w:rsidR="00A16F53" w:rsidRDefault="00F04C64" w:rsidP="00F04C6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Afin de gérer les interactions entre le GAB et la centrale</w:t>
                  </w:r>
                </w:p>
                <w:p w:rsidR="00F04C64" w:rsidRDefault="00F04C64" w:rsidP="00F04C6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Afin de gérer les interactions entre le cœur du GAB et ses périphériques</w:t>
                  </w:r>
                </w:p>
              </w:tc>
            </w:tr>
          </w:tbl>
          <w:p w:rsidR="00A16F53" w:rsidRDefault="00A16F53" w:rsidP="00B02A44"/>
        </w:tc>
      </w:tr>
      <w:tr w:rsidR="00A16F53" w:rsidTr="00B02A44">
        <w:tc>
          <w:tcPr>
            <w:tcW w:w="1101" w:type="dxa"/>
          </w:tcPr>
          <w:p w:rsidR="00A16F53" w:rsidRDefault="00F04C64" w:rsidP="00B02A44">
            <w:r>
              <w:t>2b-c.</w:t>
            </w:r>
          </w:p>
        </w:tc>
        <w:tc>
          <w:tcPr>
            <w:tcW w:w="8399" w:type="dxa"/>
          </w:tcPr>
          <w:p w:rsidR="00A16F53" w:rsidRDefault="00F04C64" w:rsidP="00B02A44">
            <w:r>
              <w:t>Ébauches de vues architecturales, allocation des exigences.</w:t>
            </w:r>
          </w:p>
          <w:p w:rsidR="00F04C64" w:rsidRDefault="00F04C64" w:rsidP="00B02A44"/>
          <w:p w:rsidR="00F04C64" w:rsidRDefault="00F04C64" w:rsidP="00B02A44">
            <w:r w:rsidRPr="00D730AD">
              <w:rPr>
                <w:b/>
                <w:u w:val="single"/>
              </w:rPr>
              <w:t>Vue physique</w:t>
            </w:r>
            <w:r w:rsidRPr="00D730AD">
              <w:rPr>
                <w:rStyle w:val="FootnoteReference"/>
                <w:b/>
                <w:u w:val="single"/>
              </w:rPr>
              <w:footnoteReference w:id="3"/>
            </w:r>
            <w:r w:rsidRPr="00D730AD">
              <w:rPr>
                <w:b/>
                <w:u w:val="single"/>
              </w:rPr>
              <w:t xml:space="preserve"> du GAB</w:t>
            </w:r>
            <w:r>
              <w:t>: diagramme en étoile avec le "cœur du GAB" au centre, et les divers périphériques et systèmes externe en étoile autour: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un lecteur magnétique de carte-client;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une console client (clavier et écran) pour l'interaction avec le client;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une fente pour recevoir les enveloppes de dépôt;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un distributeur pour fournir de l'argent (par multiples de 20 $);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une imprimante pour émettre des reçus imprimés;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 xml:space="preserve">un interrupteur à clé pour permettre à un opérateur de démarrer ou d'arrêter la machine. </w:t>
            </w:r>
          </w:p>
          <w:p w:rsidR="00AA2F4B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l'imprimante pour les logs</w:t>
            </w:r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 xml:space="preserve">la connexion avec le réseau </w:t>
            </w:r>
            <w:proofErr w:type="spellStart"/>
            <w:r>
              <w:t>Interac</w:t>
            </w:r>
            <w:proofErr w:type="spellEnd"/>
          </w:p>
          <w:p w:rsidR="00F04C64" w:rsidRDefault="00F04C64" w:rsidP="00F04C64">
            <w:pPr>
              <w:pStyle w:val="ListParagraph"/>
              <w:numPr>
                <w:ilvl w:val="0"/>
                <w:numId w:val="6"/>
              </w:numPr>
            </w:pPr>
            <w:r>
              <w:t>la connexion avec la banque</w:t>
            </w:r>
          </w:p>
          <w:p w:rsidR="00F04C64" w:rsidRDefault="00F04C64" w:rsidP="00B02A44"/>
          <w:p w:rsidR="00F04C64" w:rsidRDefault="00F04C64" w:rsidP="00B02A44">
            <w:r>
              <w:t>Tableau des éléments de la vue physique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6297"/>
            </w:tblGrid>
            <w:tr w:rsidR="00F04C64" w:rsidTr="00CF3B19">
              <w:tc>
                <w:tcPr>
                  <w:tcW w:w="1871" w:type="dxa"/>
                  <w:shd w:val="clear" w:color="auto" w:fill="FABF8F" w:themeFill="accent6" w:themeFillTint="99"/>
                  <w:vAlign w:val="center"/>
                </w:tcPr>
                <w:p w:rsidR="00F04C64" w:rsidRDefault="002201C4" w:rsidP="00CF3B19">
                  <w:pPr>
                    <w:jc w:val="center"/>
                  </w:pPr>
                  <w:r>
                    <w:t>Élément</w:t>
                  </w:r>
                </w:p>
              </w:tc>
              <w:tc>
                <w:tcPr>
                  <w:tcW w:w="6297" w:type="dxa"/>
                  <w:shd w:val="clear" w:color="auto" w:fill="FABF8F" w:themeFill="accent6" w:themeFillTint="99"/>
                  <w:vAlign w:val="center"/>
                </w:tcPr>
                <w:p w:rsidR="00F04C64" w:rsidRDefault="002201C4" w:rsidP="00CF3B19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F04C64" w:rsidTr="002201C4">
              <w:tc>
                <w:tcPr>
                  <w:tcW w:w="1871" w:type="dxa"/>
                </w:tcPr>
                <w:p w:rsidR="00F04C64" w:rsidRDefault="002201C4" w:rsidP="00B02A44">
                  <w:r>
                    <w:t>Cœur du GAB</w:t>
                  </w:r>
                </w:p>
              </w:tc>
              <w:tc>
                <w:tcPr>
                  <w:tcW w:w="6297" w:type="dxa"/>
                </w:tcPr>
                <w:p w:rsidR="00F04C64" w:rsidRDefault="00CF3B19" w:rsidP="00CF3B19">
                  <w:r>
                    <w:t xml:space="preserve">Contient toute la logique d'interaction avec le client, avec la banque, avec le réseau </w:t>
                  </w:r>
                  <w:proofErr w:type="spellStart"/>
                  <w:r>
                    <w:t>Interac</w:t>
                  </w:r>
                  <w:proofErr w:type="spellEnd"/>
                  <w:r>
                    <w:t>, avec tous les périphériques, et enfin toutes les fonctions principales.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CF3B19" w:rsidP="00CF3B19">
                  <w:r>
                    <w:t>L</w:t>
                  </w:r>
                  <w:r w:rsidR="002201C4">
                    <w:t>ecteur de carte</w:t>
                  </w:r>
                  <w:r>
                    <w:t xml:space="preserve"> magnétique</w:t>
                  </w:r>
                </w:p>
              </w:tc>
              <w:tc>
                <w:tcPr>
                  <w:tcW w:w="6297" w:type="dxa"/>
                </w:tcPr>
                <w:p w:rsidR="002201C4" w:rsidRDefault="00CF3B19" w:rsidP="00B02A44">
                  <w:r>
                    <w:t xml:space="preserve">Dispositif qui </w:t>
                  </w:r>
                  <w:r w:rsidR="00C04041">
                    <w:t>reçoit la carte magnétique de chaque client.</w:t>
                  </w:r>
                </w:p>
              </w:tc>
            </w:tr>
            <w:tr w:rsidR="00CF3B19" w:rsidRPr="00CF3B19" w:rsidTr="002201C4">
              <w:tc>
                <w:tcPr>
                  <w:tcW w:w="1871" w:type="dxa"/>
                </w:tcPr>
                <w:p w:rsidR="00CF3B19" w:rsidRPr="00CF3B19" w:rsidRDefault="00CF3B19" w:rsidP="00AA2F4B">
                  <w:r>
                    <w:t>Console (écran)</w:t>
                  </w:r>
                </w:p>
              </w:tc>
              <w:tc>
                <w:tcPr>
                  <w:tcW w:w="6297" w:type="dxa"/>
                </w:tcPr>
                <w:p w:rsidR="00CF3B19" w:rsidRPr="00CF3B19" w:rsidRDefault="00CF3B19" w:rsidP="00CF3B19">
                  <w:r>
                    <w:t xml:space="preserve">Écran tactile qui affiche les informations aux clients, contient parfois des "boutons" sur la périphérie (choix des comptes, </w:t>
                  </w:r>
                  <w:proofErr w:type="spellStart"/>
                  <w:r>
                    <w:t>etc</w:t>
                  </w:r>
                  <w:proofErr w:type="spellEnd"/>
                  <w:r>
                    <w:t>)</w:t>
                  </w:r>
                </w:p>
              </w:tc>
            </w:tr>
            <w:tr w:rsidR="00CF3B19" w:rsidRPr="00CF3B19" w:rsidTr="002201C4">
              <w:tc>
                <w:tcPr>
                  <w:tcW w:w="1871" w:type="dxa"/>
                </w:tcPr>
                <w:p w:rsidR="00CF3B19" w:rsidRPr="00CF3B19" w:rsidRDefault="00CF3B19" w:rsidP="00AA2F4B">
                  <w:r>
                    <w:t>Clavier</w:t>
                  </w:r>
                </w:p>
              </w:tc>
              <w:tc>
                <w:tcPr>
                  <w:tcW w:w="6297" w:type="dxa"/>
                </w:tcPr>
                <w:p w:rsidR="00CF3B19" w:rsidRPr="00CF3B19" w:rsidRDefault="00CF3B19" w:rsidP="00B02A44">
                  <w:r>
                    <w:t>Permet aux clients de saisir les informations (NIP, montants)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Récepteur enveloppes dépôts</w:t>
                  </w:r>
                </w:p>
              </w:tc>
              <w:tc>
                <w:tcPr>
                  <w:tcW w:w="6297" w:type="dxa"/>
                </w:tcPr>
                <w:p w:rsidR="002201C4" w:rsidRDefault="002201C4" w:rsidP="00B02A44">
                  <w:r>
                    <w:t>Permettre de recevoir des enveloppes de dépôts contenant de l'argent (billets seulement) et/ou des chèques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Distributeur billets</w:t>
                  </w:r>
                </w:p>
              </w:tc>
              <w:tc>
                <w:tcPr>
                  <w:tcW w:w="6297" w:type="dxa"/>
                </w:tcPr>
                <w:p w:rsidR="002201C4" w:rsidRDefault="002201C4" w:rsidP="002201C4">
                  <w:r>
                    <w:t>Fournir les liquidités aux clients lors de retraits, en multiples de $20.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Imprimante</w:t>
                  </w:r>
                </w:p>
              </w:tc>
              <w:tc>
                <w:tcPr>
                  <w:tcW w:w="6297" w:type="dxa"/>
                </w:tcPr>
                <w:p w:rsidR="002201C4" w:rsidRDefault="002201C4" w:rsidP="00B02A44">
                  <w:r>
                    <w:t>Émettre des reçus imprimés aux clients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Interrupteur à clé</w:t>
                  </w:r>
                </w:p>
              </w:tc>
              <w:tc>
                <w:tcPr>
                  <w:tcW w:w="6297" w:type="dxa"/>
                </w:tcPr>
                <w:p w:rsidR="002201C4" w:rsidRDefault="002201C4" w:rsidP="00B02A44">
                  <w:r>
                    <w:t>Permettre à un opérateur de démarrer ou d'arrêter la machine.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Imprimante logs</w:t>
                  </w:r>
                </w:p>
              </w:tc>
              <w:tc>
                <w:tcPr>
                  <w:tcW w:w="6297" w:type="dxa"/>
                </w:tcPr>
                <w:p w:rsidR="002201C4" w:rsidRDefault="002201C4" w:rsidP="002201C4">
                  <w:r>
                    <w:t>Imprime toutes les transactions. Cette imprimante se trouve dans la partie blindée du guichet avec l'argent et les enveloppes, car la journalisation des transactions est une information hautement sensible.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>Réseau vers banque</w:t>
                  </w:r>
                </w:p>
              </w:tc>
              <w:tc>
                <w:tcPr>
                  <w:tcW w:w="6297" w:type="dxa"/>
                </w:tcPr>
                <w:p w:rsidR="002201C4" w:rsidRDefault="002201C4" w:rsidP="00B02A44">
                  <w:r>
                    <w:t>Représente le matériel de connexion vers la banque</w:t>
                  </w:r>
                </w:p>
              </w:tc>
            </w:tr>
            <w:tr w:rsidR="002201C4" w:rsidTr="002201C4">
              <w:tc>
                <w:tcPr>
                  <w:tcW w:w="1871" w:type="dxa"/>
                </w:tcPr>
                <w:p w:rsidR="002201C4" w:rsidRDefault="002201C4" w:rsidP="00B02A44">
                  <w:r>
                    <w:t xml:space="preserve">Réseau </w:t>
                  </w:r>
                  <w:proofErr w:type="spellStart"/>
                  <w:r>
                    <w:t>Interac</w:t>
                  </w:r>
                  <w:proofErr w:type="spellEnd"/>
                </w:p>
              </w:tc>
              <w:tc>
                <w:tcPr>
                  <w:tcW w:w="6297" w:type="dxa"/>
                </w:tcPr>
                <w:p w:rsidR="002201C4" w:rsidRDefault="002201C4" w:rsidP="00B02A44">
                  <w:r>
                    <w:t>Représente le matériel de conne</w:t>
                  </w:r>
                  <w:r w:rsidR="00AA2F4B">
                    <w:t xml:space="preserve">xion vers le réseau </w:t>
                  </w:r>
                  <w:proofErr w:type="spellStart"/>
                  <w:r w:rsidR="00AA2F4B">
                    <w:t>Interac</w:t>
                  </w:r>
                  <w:proofErr w:type="spellEnd"/>
                </w:p>
              </w:tc>
            </w:tr>
          </w:tbl>
          <w:p w:rsidR="00F04C64" w:rsidRDefault="00F04C64" w:rsidP="00B02A44"/>
          <w:p w:rsidR="00545F57" w:rsidRDefault="00545F57" w:rsidP="00B02A44">
            <w:r>
              <w:t>La nature des liens de communications entre le cœur du GAB et les autres éléments reste à déterminer (ports USB, Ethernet, autre,…).</w:t>
            </w:r>
          </w:p>
          <w:p w:rsidR="00D730AD" w:rsidRDefault="00D730AD" w:rsidP="00B02A44"/>
          <w:p w:rsidR="00D730AD" w:rsidRDefault="00D730AD" w:rsidP="00B02A44">
            <w:r w:rsidRPr="00D730AD">
              <w:rPr>
                <w:b/>
                <w:u w:val="single"/>
              </w:rPr>
              <w:t>Vue modules interne du cœur du GAB</w:t>
            </w:r>
            <w:r>
              <w:t>: décomposition modulaire. L'indentation dans la liste suivante indique les niveaux de décomposition</w:t>
            </w:r>
          </w:p>
          <w:p w:rsidR="00D730AD" w:rsidRDefault="00D730AD" w:rsidP="00D730AD">
            <w:pPr>
              <w:pStyle w:val="ListParagraph"/>
              <w:numPr>
                <w:ilvl w:val="0"/>
                <w:numId w:val="7"/>
              </w:numPr>
            </w:pPr>
            <w:r>
              <w:t xml:space="preserve">Module "Cœur du </w:t>
            </w:r>
            <w:proofErr w:type="spellStart"/>
            <w:r>
              <w:t>gab</w:t>
            </w:r>
            <w:proofErr w:type="spellEnd"/>
            <w:r>
              <w:t>"</w:t>
            </w:r>
          </w:p>
          <w:p w:rsidR="00D730AD" w:rsidRDefault="00D730AD" w:rsidP="00D730AD">
            <w:pPr>
              <w:pStyle w:val="ListParagraph"/>
              <w:numPr>
                <w:ilvl w:val="1"/>
                <w:numId w:val="7"/>
              </w:numPr>
            </w:pPr>
            <w:r>
              <w:t>Module "Session"</w:t>
            </w:r>
          </w:p>
          <w:p w:rsidR="00D730AD" w:rsidRDefault="00D730AD" w:rsidP="00D730AD">
            <w:pPr>
              <w:pStyle w:val="ListParagraph"/>
              <w:numPr>
                <w:ilvl w:val="1"/>
                <w:numId w:val="7"/>
              </w:numPr>
            </w:pPr>
            <w:r>
              <w:t>Module "Transaction"</w:t>
            </w:r>
          </w:p>
          <w:p w:rsidR="00D730AD" w:rsidRDefault="00D730AD" w:rsidP="00D730AD">
            <w:pPr>
              <w:pStyle w:val="ListParagraph"/>
              <w:numPr>
                <w:ilvl w:val="1"/>
                <w:numId w:val="7"/>
              </w:numPr>
            </w:pPr>
            <w:r>
              <w:t>Module "Retrait" (hérite du module "Transaction")</w:t>
            </w:r>
          </w:p>
          <w:p w:rsidR="004C6290" w:rsidRDefault="004C6290" w:rsidP="00D730AD">
            <w:pPr>
              <w:pStyle w:val="ListParagraph"/>
              <w:numPr>
                <w:ilvl w:val="1"/>
                <w:numId w:val="7"/>
              </w:numPr>
            </w:pPr>
            <w:r>
              <w:t>Module "</w:t>
            </w:r>
            <w:proofErr w:type="spellStart"/>
            <w:r>
              <w:t>Heartbeat</w:t>
            </w:r>
            <w:proofErr w:type="spellEnd"/>
            <w:r>
              <w:t>"</w:t>
            </w:r>
          </w:p>
          <w:p w:rsidR="004C6290" w:rsidRDefault="004C6290" w:rsidP="00D730AD">
            <w:pPr>
              <w:pStyle w:val="ListParagraph"/>
              <w:numPr>
                <w:ilvl w:val="1"/>
                <w:numId w:val="7"/>
              </w:numPr>
            </w:pPr>
            <w:r>
              <w:t>Module "Ping"</w:t>
            </w:r>
          </w:p>
          <w:p w:rsidR="00D730AD" w:rsidRDefault="00D730AD" w:rsidP="00D730AD"/>
          <w:p w:rsidR="00D730AD" w:rsidRDefault="0098607F" w:rsidP="0098607F">
            <w:r>
              <w:t xml:space="preserve">Tableau des éléments de la vue </w:t>
            </w:r>
            <w:proofErr w:type="gramStart"/>
            <w:r>
              <w:t>modules</w:t>
            </w:r>
            <w:proofErr w:type="gramEnd"/>
            <w:r>
              <w:t xml:space="preserve"> "</w:t>
            </w:r>
            <w:proofErr w:type="spellStart"/>
            <w:r>
              <w:t>coeur</w:t>
            </w:r>
            <w:proofErr w:type="spellEnd"/>
            <w:r>
              <w:t xml:space="preserve"> du GAB"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6013"/>
            </w:tblGrid>
            <w:tr w:rsidR="0098607F" w:rsidTr="007400DD">
              <w:trPr>
                <w:tblHeader/>
              </w:trPr>
              <w:tc>
                <w:tcPr>
                  <w:tcW w:w="2155" w:type="dxa"/>
                  <w:shd w:val="clear" w:color="auto" w:fill="FABF8F" w:themeFill="accent6" w:themeFillTint="99"/>
                  <w:vAlign w:val="center"/>
                </w:tcPr>
                <w:p w:rsidR="0098607F" w:rsidRDefault="0098607F" w:rsidP="007400DD">
                  <w:pPr>
                    <w:jc w:val="center"/>
                  </w:pPr>
                  <w:r>
                    <w:t>Élément</w:t>
                  </w:r>
                </w:p>
              </w:tc>
              <w:tc>
                <w:tcPr>
                  <w:tcW w:w="6013" w:type="dxa"/>
                  <w:shd w:val="clear" w:color="auto" w:fill="FABF8F" w:themeFill="accent6" w:themeFillTint="99"/>
                  <w:vAlign w:val="center"/>
                </w:tcPr>
                <w:p w:rsidR="0098607F" w:rsidRDefault="0098607F" w:rsidP="007400DD">
                  <w:pPr>
                    <w:jc w:val="center"/>
                  </w:pPr>
                  <w:r>
                    <w:t>Responsabilités</w:t>
                  </w:r>
                </w:p>
              </w:tc>
            </w:tr>
            <w:tr w:rsidR="0098607F" w:rsidTr="0098607F">
              <w:tc>
                <w:tcPr>
                  <w:tcW w:w="2155" w:type="dxa"/>
                </w:tcPr>
                <w:p w:rsidR="0098607F" w:rsidRDefault="0098607F" w:rsidP="0098607F">
                  <w:r>
                    <w:t>Cœur du GAB</w:t>
                  </w:r>
                </w:p>
              </w:tc>
              <w:tc>
                <w:tcPr>
                  <w:tcW w:w="6013" w:type="dxa"/>
                </w:tcPr>
                <w:p w:rsidR="0098607F" w:rsidRDefault="0098607F" w:rsidP="0098607F">
                  <w:r>
                    <w:t>Toutes les responsabilités indiqué</w:t>
                  </w:r>
                  <w:r w:rsidR="007400DD">
                    <w:t>e</w:t>
                  </w:r>
                  <w:r>
                    <w:t>s plus haut sur l'élément du même nom dans la vue physique.</w:t>
                  </w:r>
                </w:p>
              </w:tc>
            </w:tr>
            <w:tr w:rsidR="0098607F" w:rsidTr="0098607F">
              <w:tc>
                <w:tcPr>
                  <w:tcW w:w="2155" w:type="dxa"/>
                </w:tcPr>
                <w:p w:rsidR="0098607F" w:rsidRDefault="0098607F" w:rsidP="0098607F">
                  <w:r>
                    <w:t>Session</w:t>
                  </w:r>
                </w:p>
              </w:tc>
              <w:tc>
                <w:tcPr>
                  <w:tcW w:w="6013" w:type="dxa"/>
                </w:tcPr>
                <w:p w:rsidR="0098607F" w:rsidRDefault="00FB54E4" w:rsidP="0098607F">
                  <w:r>
                    <w:t>Module responsable d'implémenter le CU3 – session</w:t>
                  </w:r>
                </w:p>
                <w:p w:rsidR="00FB54E4" w:rsidRDefault="00FB54E4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lastRenderedPageBreak/>
                    <w:t>interaction avec lecteur cartes;</w:t>
                  </w:r>
                </w:p>
                <w:p w:rsidR="00FB54E4" w:rsidRDefault="00FB54E4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interaction avec </w:t>
                  </w:r>
                  <w:r>
                    <w:rPr>
                      <w:lang w:val="en-CA"/>
                    </w:rPr>
                    <w:t>é</w:t>
                  </w:r>
                  <w:r>
                    <w:t>cran (messages)</w:t>
                  </w:r>
                </w:p>
                <w:p w:rsidR="00FB54E4" w:rsidRDefault="00FB54E4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interaction avec clavier (NIP)</w:t>
                  </w:r>
                </w:p>
                <w:p w:rsidR="00FB54E4" w:rsidRDefault="00FB54E4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affichage du menu – choix de transaction</w:t>
                  </w:r>
                </w:p>
                <w:p w:rsidR="00FB54E4" w:rsidRDefault="00FB54E4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gestion des transactions</w:t>
                  </w:r>
                </w:p>
                <w:p w:rsidR="00435408" w:rsidRDefault="00435408" w:rsidP="00435408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gestion de la demande du NIP</w:t>
                  </w:r>
                </w:p>
              </w:tc>
            </w:tr>
            <w:tr w:rsidR="0098607F" w:rsidTr="0098607F">
              <w:tc>
                <w:tcPr>
                  <w:tcW w:w="2155" w:type="dxa"/>
                </w:tcPr>
                <w:p w:rsidR="0098607F" w:rsidRDefault="00FB54E4" w:rsidP="0098607F">
                  <w:r>
                    <w:lastRenderedPageBreak/>
                    <w:t>Transaction</w:t>
                  </w:r>
                </w:p>
              </w:tc>
              <w:tc>
                <w:tcPr>
                  <w:tcW w:w="6013" w:type="dxa"/>
                </w:tcPr>
                <w:p w:rsidR="0098607F" w:rsidRDefault="00FB54E4" w:rsidP="0098607F">
                  <w:r>
                    <w:t>Module responsable d'implémenter le CU4 – transaction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transaction instanciée par session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interaction avec les périphériques communs à toutes les transactions: 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1"/>
                      <w:numId w:val="8"/>
                    </w:numPr>
                  </w:pPr>
                  <w:r>
                    <w:t>banque (validation)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1"/>
                      <w:numId w:val="8"/>
                    </w:numPr>
                  </w:pPr>
                  <w:r>
                    <w:t>clavier (montants, comptes)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1"/>
                      <w:numId w:val="8"/>
                    </w:numPr>
                  </w:pPr>
                  <w:r>
                    <w:t>écran (messages)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1"/>
                      <w:numId w:val="8"/>
                    </w:numPr>
                  </w:pPr>
                  <w:r>
                    <w:t>imprimante reçus clients</w:t>
                  </w:r>
                </w:p>
                <w:p w:rsidR="0024736B" w:rsidRDefault="0024736B" w:rsidP="0024736B">
                  <w:pPr>
                    <w:pStyle w:val="ListParagraph"/>
                    <w:numPr>
                      <w:ilvl w:val="1"/>
                      <w:numId w:val="8"/>
                    </w:numPr>
                  </w:pPr>
                  <w:r>
                    <w:t>imprimante logs</w:t>
                  </w:r>
                </w:p>
              </w:tc>
            </w:tr>
            <w:tr w:rsidR="0098607F" w:rsidTr="0098607F">
              <w:tc>
                <w:tcPr>
                  <w:tcW w:w="2155" w:type="dxa"/>
                </w:tcPr>
                <w:p w:rsidR="0098607F" w:rsidRDefault="002161C2" w:rsidP="0098607F">
                  <w:r>
                    <w:t>Retrait</w:t>
                  </w:r>
                </w:p>
              </w:tc>
              <w:tc>
                <w:tcPr>
                  <w:tcW w:w="6013" w:type="dxa"/>
                </w:tcPr>
                <w:p w:rsidR="0098607F" w:rsidRDefault="002161C2" w:rsidP="002161C2">
                  <w:r>
                    <w:t>Module responsable d'implémenter le CU5 – retrait</w:t>
                  </w:r>
                </w:p>
                <w:p w:rsidR="002161C2" w:rsidRDefault="002161C2" w:rsidP="002161C2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interaction avec les périphériques spécifiques à ce type de transaction: distributeur de billets </w:t>
                  </w:r>
                </w:p>
              </w:tc>
            </w:tr>
            <w:tr w:rsidR="0098607F" w:rsidTr="0098607F">
              <w:tc>
                <w:tcPr>
                  <w:tcW w:w="2155" w:type="dxa"/>
                </w:tcPr>
                <w:p w:rsidR="0098607F" w:rsidRDefault="002161C2" w:rsidP="0098607F">
                  <w:proofErr w:type="spellStart"/>
                  <w:r>
                    <w:t>Heartbeat</w:t>
                  </w:r>
                  <w:proofErr w:type="spellEnd"/>
                </w:p>
              </w:tc>
              <w:tc>
                <w:tcPr>
                  <w:tcW w:w="6013" w:type="dxa"/>
                </w:tcPr>
                <w:p w:rsidR="0098607F" w:rsidRDefault="002161C2" w:rsidP="002161C2">
                  <w:r>
                    <w:t xml:space="preserve">Module responsable d'mettre le </w:t>
                  </w:r>
                  <w:proofErr w:type="spellStart"/>
                  <w:r>
                    <w:t>Heartbeat</w:t>
                  </w:r>
                  <w:proofErr w:type="spellEnd"/>
                  <w:r>
                    <w:t xml:space="preserve"> pour signaler la disponibilité </w:t>
                  </w:r>
                  <w:proofErr w:type="gramStart"/>
                  <w:r>
                    <w:t>du AGB</w:t>
                  </w:r>
                  <w:proofErr w:type="gramEnd"/>
                  <w:r>
                    <w:t xml:space="preserve"> à la centrale.</w:t>
                  </w:r>
                </w:p>
              </w:tc>
            </w:tr>
            <w:tr w:rsidR="002161C2" w:rsidTr="0098607F">
              <w:tc>
                <w:tcPr>
                  <w:tcW w:w="2155" w:type="dxa"/>
                </w:tcPr>
                <w:p w:rsidR="002161C2" w:rsidRDefault="002161C2" w:rsidP="0098607F">
                  <w:r>
                    <w:t>Ping</w:t>
                  </w:r>
                </w:p>
              </w:tc>
              <w:tc>
                <w:tcPr>
                  <w:tcW w:w="6013" w:type="dxa"/>
                </w:tcPr>
                <w:p w:rsidR="002161C2" w:rsidRDefault="002161C2" w:rsidP="002161C2">
                  <w:r>
                    <w:t>Module responsable de "pinger" la centrale et gérer les actions en cas de perte de connexion avec la centrale</w:t>
                  </w:r>
                </w:p>
              </w:tc>
            </w:tr>
          </w:tbl>
          <w:p w:rsidR="0098607F" w:rsidRDefault="0098607F" w:rsidP="0098607F"/>
        </w:tc>
      </w:tr>
      <w:tr w:rsidR="00A16F53" w:rsidTr="00B02A44">
        <w:tc>
          <w:tcPr>
            <w:tcW w:w="1101" w:type="dxa"/>
          </w:tcPr>
          <w:p w:rsidR="00A16F53" w:rsidRDefault="00AA2F4B" w:rsidP="00B02A44">
            <w:r>
              <w:lastRenderedPageBreak/>
              <w:t>2d.</w:t>
            </w:r>
          </w:p>
        </w:tc>
        <w:tc>
          <w:tcPr>
            <w:tcW w:w="8399" w:type="dxa"/>
          </w:tcPr>
          <w:p w:rsidR="00A16F53" w:rsidRDefault="00AA2F4B" w:rsidP="00AA2F4B">
            <w:r>
              <w:t xml:space="preserve">Pas fait. </w:t>
            </w:r>
          </w:p>
        </w:tc>
      </w:tr>
      <w:tr w:rsidR="00AA2F4B" w:rsidTr="00B02A44">
        <w:tc>
          <w:tcPr>
            <w:tcW w:w="1101" w:type="dxa"/>
          </w:tcPr>
          <w:p w:rsidR="00AA2F4B" w:rsidRDefault="00AA2F4B" w:rsidP="00B02A44">
            <w:r>
              <w:t>2e.</w:t>
            </w:r>
          </w:p>
        </w:tc>
        <w:tc>
          <w:tcPr>
            <w:tcW w:w="8399" w:type="dxa"/>
          </w:tcPr>
          <w:p w:rsidR="00AA2F4B" w:rsidRDefault="00AA2F4B" w:rsidP="00B02A44">
            <w:r>
              <w:t>Vérification: la présentation suivante est dorénavant recommandée. Tant que tous les AD de départ ne sont pas dans la colonne "Complètement fait", on sait qu'il reste des itérations à faire.</w:t>
            </w:r>
          </w:p>
          <w:p w:rsidR="00AA2F4B" w:rsidRDefault="00AA2F4B" w:rsidP="00B02A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431"/>
              <w:gridCol w:w="1559"/>
              <w:gridCol w:w="4026"/>
            </w:tblGrid>
            <w:tr w:rsidR="00AA2F4B" w:rsidTr="00A724BA">
              <w:tc>
                <w:tcPr>
                  <w:tcW w:w="1157" w:type="dxa"/>
                  <w:shd w:val="clear" w:color="auto" w:fill="FABF8F" w:themeFill="accent6" w:themeFillTint="99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Pas fait</w:t>
                  </w:r>
                </w:p>
              </w:tc>
              <w:tc>
                <w:tcPr>
                  <w:tcW w:w="1431" w:type="dxa"/>
                  <w:shd w:val="clear" w:color="auto" w:fill="FABF8F" w:themeFill="accent6" w:themeFillTint="99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Partiellement fait</w:t>
                  </w:r>
                </w:p>
              </w:tc>
              <w:tc>
                <w:tcPr>
                  <w:tcW w:w="1559" w:type="dxa"/>
                  <w:shd w:val="clear" w:color="auto" w:fill="FABF8F" w:themeFill="accent6" w:themeFillTint="99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Complètement fait</w:t>
                  </w:r>
                </w:p>
              </w:tc>
              <w:tc>
                <w:tcPr>
                  <w:tcW w:w="4026" w:type="dxa"/>
                  <w:shd w:val="clear" w:color="auto" w:fill="FABF8F" w:themeFill="accent6" w:themeFillTint="99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Décisi</w:t>
                  </w:r>
                  <w:r w:rsidR="00216B45">
                    <w:t xml:space="preserve">ons architecturales dans cette </w:t>
                  </w:r>
                  <w:r>
                    <w:t>itération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CU3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216B45">
                  <w:r>
                    <w:t>Allocation physique, vue modulaire haut niveau avec module dédié, style client-serveur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CU4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B02A44">
                  <w:r>
                    <w:t>Allocation physique, vue modulaire haut niveau avec module dédié</w:t>
                  </w:r>
                  <w:r>
                    <w:t>, style client-serveur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CU5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B02A44">
                  <w:r>
                    <w:t>Allocation physique, vue modulaire haut niveau avec module dédié</w:t>
                  </w:r>
                  <w:r>
                    <w:t>, style client-serveur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D2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216B45">
                  <w:r>
                    <w:t>Tactique "</w:t>
                  </w:r>
                  <w:proofErr w:type="spellStart"/>
                  <w:r>
                    <w:t>Heartbeat</w:t>
                  </w:r>
                  <w:proofErr w:type="spellEnd"/>
                  <w:r>
                    <w:t>", allocation à un module dédié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D3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216B45">
                  <w:r>
                    <w:t>Tactique "Ping/</w:t>
                  </w:r>
                  <w:proofErr w:type="spellStart"/>
                  <w:r>
                    <w:t>echo</w:t>
                  </w:r>
                  <w:proofErr w:type="spellEnd"/>
                  <w:r>
                    <w:t>", allocation du "Ping" à un module dédié. Le mécanisme de "</w:t>
                  </w:r>
                  <w:proofErr w:type="spellStart"/>
                  <w:r>
                    <w:t>failover</w:t>
                  </w:r>
                  <w:proofErr w:type="spellEnd"/>
                  <w:r>
                    <w:t>" (mise des transactions en cache) reste à faire, ne semble pas évident.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T1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216B45">
                  <w:r>
                    <w:t xml:space="preserve">Allocation des fonctionnalités à des </w:t>
                  </w:r>
                  <w:proofErr w:type="gramStart"/>
                  <w:r>
                    <w:t>module</w:t>
                  </w:r>
                  <w:proofErr w:type="gramEnd"/>
                  <w:r>
                    <w:t xml:space="preserve"> dédiés (Transaction, Retrait)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Port1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216B45">
                  <w:r>
                    <w:t>Allocation physique. Il reste à établir ce que l'utilisation de la norme ISO 8583 implique.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216B45" w:rsidP="00A724BA">
                  <w:pPr>
                    <w:jc w:val="center"/>
                  </w:pPr>
                  <w:r>
                    <w:t>CT2</w:t>
                  </w: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B02A44">
                  <w:r>
                    <w:t>Aucune.</w:t>
                  </w:r>
                </w:p>
              </w:tc>
            </w:tr>
            <w:tr w:rsidR="00AA2F4B" w:rsidTr="00A724BA">
              <w:tc>
                <w:tcPr>
                  <w:tcW w:w="115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  <w:r>
                    <w:t>CT3</w:t>
                  </w:r>
                </w:p>
              </w:tc>
              <w:tc>
                <w:tcPr>
                  <w:tcW w:w="1549" w:type="dxa"/>
                  <w:vAlign w:val="center"/>
                </w:tcPr>
                <w:p w:rsidR="00AA2F4B" w:rsidRDefault="00AA2F4B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AA2F4B" w:rsidRDefault="00216B45" w:rsidP="00B02A44">
                  <w:r>
                    <w:t>Allocation physique.</w:t>
                  </w:r>
                </w:p>
              </w:tc>
            </w:tr>
            <w:tr w:rsidR="00216B45" w:rsidTr="00A724BA">
              <w:tc>
                <w:tcPr>
                  <w:tcW w:w="1159" w:type="dxa"/>
                  <w:vAlign w:val="center"/>
                </w:tcPr>
                <w:p w:rsidR="00216B45" w:rsidRDefault="00216B45" w:rsidP="00A724BA">
                  <w:pPr>
                    <w:jc w:val="center"/>
                  </w:pPr>
                </w:p>
              </w:tc>
              <w:tc>
                <w:tcPr>
                  <w:tcW w:w="1431" w:type="dxa"/>
                  <w:vAlign w:val="center"/>
                </w:tcPr>
                <w:p w:rsidR="00216B45" w:rsidRDefault="00216B45" w:rsidP="00A724BA">
                  <w:pPr>
                    <w:jc w:val="center"/>
                  </w:pPr>
                  <w:r>
                    <w:t>CT4</w:t>
                  </w:r>
                </w:p>
              </w:tc>
              <w:tc>
                <w:tcPr>
                  <w:tcW w:w="1549" w:type="dxa"/>
                  <w:vAlign w:val="center"/>
                </w:tcPr>
                <w:p w:rsidR="00216B45" w:rsidRDefault="00216B45" w:rsidP="00A724BA">
                  <w:pPr>
                    <w:jc w:val="center"/>
                  </w:pPr>
                </w:p>
              </w:tc>
              <w:tc>
                <w:tcPr>
                  <w:tcW w:w="4034" w:type="dxa"/>
                </w:tcPr>
                <w:p w:rsidR="00216B45" w:rsidRDefault="00216B45" w:rsidP="00F766C4">
                  <w:r>
                    <w:t>Allocation physique.</w:t>
                  </w:r>
                </w:p>
              </w:tc>
            </w:tr>
          </w:tbl>
          <w:p w:rsidR="00AA2F4B" w:rsidRDefault="00AA2F4B" w:rsidP="00B02A44"/>
        </w:tc>
      </w:tr>
    </w:tbl>
    <w:p w:rsidR="00B02A44" w:rsidRDefault="00B02A44" w:rsidP="00B02A44"/>
    <w:p w:rsidR="00216B45" w:rsidRPr="00B02A44" w:rsidRDefault="00216B45" w:rsidP="00B02A44">
      <w:r>
        <w:t>Il s'agirait ensuite de choisir un autre élément à décomposer parmi ceux obtenus à la première itération, et à reprendre les mêmes étapes.</w:t>
      </w:r>
      <w:bookmarkStart w:id="0" w:name="_GoBack"/>
      <w:bookmarkEnd w:id="0"/>
    </w:p>
    <w:sectPr w:rsidR="00216B45" w:rsidRPr="00B02A4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C3" w:rsidRDefault="006F00C3" w:rsidP="0014258D">
      <w:pPr>
        <w:spacing w:after="0" w:line="240" w:lineRule="auto"/>
      </w:pPr>
      <w:r>
        <w:separator/>
      </w:r>
    </w:p>
  </w:endnote>
  <w:endnote w:type="continuationSeparator" w:id="0">
    <w:p w:rsidR="006F00C3" w:rsidRDefault="006F00C3" w:rsidP="0014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78" w:rsidRPr="00096878" w:rsidRDefault="00096878" w:rsidP="00096878">
    <w:pPr>
      <w:pStyle w:val="Footer"/>
      <w:shd w:val="clear" w:color="auto" w:fill="FABF8F" w:themeFill="accent6" w:themeFillTint="99"/>
      <w:rPr>
        <w:lang w:val="en-CA"/>
      </w:rPr>
    </w:pPr>
    <w:r>
      <w:rPr>
        <w:lang w:val="en-CA"/>
      </w:rPr>
      <w:t xml:space="preserve">Par Roger Champagne, </w:t>
    </w:r>
    <w:proofErr w:type="spellStart"/>
    <w:r>
      <w:rPr>
        <w:lang w:val="en-CA"/>
      </w:rPr>
      <w:t>P.Eng</w:t>
    </w:r>
    <w:proofErr w:type="spellEnd"/>
    <w:r>
      <w:rPr>
        <w:lang w:val="en-CA"/>
      </w:rPr>
      <w:t>., Ph.D.</w:t>
    </w:r>
    <w:r>
      <w:rPr>
        <w:lang w:val="en-CA"/>
      </w:rPr>
      <w:tab/>
      <w:t xml:space="preserve">Page </w:t>
    </w:r>
    <w:r w:rsidRPr="00096878">
      <w:rPr>
        <w:lang w:val="en-CA"/>
      </w:rPr>
      <w:fldChar w:fldCharType="begin"/>
    </w:r>
    <w:r w:rsidRPr="00096878">
      <w:rPr>
        <w:lang w:val="en-CA"/>
      </w:rPr>
      <w:instrText xml:space="preserve"> PAGE   \* MERGEFORMAT </w:instrText>
    </w:r>
    <w:r w:rsidRPr="00096878">
      <w:rPr>
        <w:lang w:val="en-CA"/>
      </w:rPr>
      <w:fldChar w:fldCharType="separate"/>
    </w:r>
    <w:r w:rsidR="00A724BA">
      <w:rPr>
        <w:noProof/>
        <w:lang w:val="en-CA"/>
      </w:rPr>
      <w:t>6</w:t>
    </w:r>
    <w:r w:rsidRPr="00096878">
      <w:rPr>
        <w:noProof/>
        <w:lang w:val="en-CA"/>
      </w:rPr>
      <w:fldChar w:fldCharType="end"/>
    </w:r>
    <w:r>
      <w:rPr>
        <w:noProof/>
        <w:lang w:val="en-CA"/>
      </w:rPr>
      <w:tab/>
      <w:t>2015-Nov-24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C3" w:rsidRDefault="006F00C3" w:rsidP="0014258D">
      <w:pPr>
        <w:spacing w:after="0" w:line="240" w:lineRule="auto"/>
      </w:pPr>
      <w:r>
        <w:separator/>
      </w:r>
    </w:p>
  </w:footnote>
  <w:footnote w:type="continuationSeparator" w:id="0">
    <w:p w:rsidR="006F00C3" w:rsidRDefault="006F00C3" w:rsidP="0014258D">
      <w:pPr>
        <w:spacing w:after="0" w:line="240" w:lineRule="auto"/>
      </w:pPr>
      <w:r>
        <w:continuationSeparator/>
      </w:r>
    </w:p>
  </w:footnote>
  <w:footnote w:id="1">
    <w:p w:rsidR="00AA2F4B" w:rsidRPr="00D44B89" w:rsidRDefault="00AA2F4B">
      <w:pPr>
        <w:pStyle w:val="FootnoteText"/>
      </w:pPr>
      <w:r w:rsidRPr="00D44B89">
        <w:rPr>
          <w:rStyle w:val="FootnoteReference"/>
        </w:rPr>
        <w:footnoteRef/>
      </w:r>
      <w:r w:rsidRPr="00D44B89">
        <w:t xml:space="preserve"> Le serveur est hors portée dans cette </w:t>
      </w:r>
      <w:r>
        <w:t>ité</w:t>
      </w:r>
      <w:r w:rsidRPr="00D44B89">
        <w:t>ration de conception.</w:t>
      </w:r>
    </w:p>
  </w:footnote>
  <w:footnote w:id="2">
    <w:p w:rsidR="00AA2F4B" w:rsidRPr="00D44B89" w:rsidRDefault="00AA2F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ISO 8583</w:t>
      </w:r>
      <w:r w:rsidRPr="00D44B89">
        <w:t xml:space="preserve"> ne nous est pas connue. Considéré risqué, ce scénario a été retenu. Il faudrait analyser la norme ASAP dans la vraie vie.</w:t>
      </w:r>
    </w:p>
  </w:footnote>
  <w:footnote w:id="3">
    <w:p w:rsidR="00AA2F4B" w:rsidRPr="00F04C64" w:rsidRDefault="00AA2F4B">
      <w:pPr>
        <w:pStyle w:val="FootnoteText"/>
        <w:rPr>
          <w:lang w:val="en-CA"/>
        </w:rPr>
      </w:pPr>
      <w:r w:rsidRPr="00F04C64">
        <w:rPr>
          <w:rStyle w:val="FootnoteReference"/>
        </w:rPr>
        <w:footnoteRef/>
      </w:r>
      <w:r w:rsidRPr="00F04C64">
        <w:t xml:space="preserve"> Une représentation de la distribution du matériel semblait appropriée comme première structure ici, afin de canaliser les considérations convenablement</w:t>
      </w:r>
      <w:r>
        <w:rPr>
          <w:lang w:val="en-CA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78" w:rsidRPr="00096878" w:rsidRDefault="00096878" w:rsidP="00096878">
    <w:pPr>
      <w:pStyle w:val="Header"/>
      <w:shd w:val="clear" w:color="auto" w:fill="FABF8F" w:themeFill="accent6" w:themeFillTint="99"/>
    </w:pPr>
    <w:r w:rsidRPr="00096878">
      <w:t>LOG430-01-A15</w:t>
    </w:r>
    <w:r w:rsidRPr="00096878">
      <w:tab/>
    </w:r>
    <w:r w:rsidRPr="00096878">
      <w:tab/>
      <w:t>Exercice de conception architecturale en classe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789"/>
    <w:multiLevelType w:val="hybridMultilevel"/>
    <w:tmpl w:val="E0106CD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B3D19"/>
    <w:multiLevelType w:val="hybridMultilevel"/>
    <w:tmpl w:val="51E29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911"/>
    <w:multiLevelType w:val="hybridMultilevel"/>
    <w:tmpl w:val="F9804D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A2903"/>
    <w:multiLevelType w:val="hybridMultilevel"/>
    <w:tmpl w:val="12A0DEB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BD40B5"/>
    <w:multiLevelType w:val="hybridMultilevel"/>
    <w:tmpl w:val="2AE4F1D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BE4E84"/>
    <w:multiLevelType w:val="hybridMultilevel"/>
    <w:tmpl w:val="DEC6D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A7374"/>
    <w:multiLevelType w:val="hybridMultilevel"/>
    <w:tmpl w:val="BA8AE38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A747EC"/>
    <w:multiLevelType w:val="hybridMultilevel"/>
    <w:tmpl w:val="13B206E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50377C"/>
    <w:multiLevelType w:val="hybridMultilevel"/>
    <w:tmpl w:val="9EFA8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2E"/>
    <w:rsid w:val="0001467A"/>
    <w:rsid w:val="00096878"/>
    <w:rsid w:val="00100F53"/>
    <w:rsid w:val="0014258D"/>
    <w:rsid w:val="001E16A6"/>
    <w:rsid w:val="002161C2"/>
    <w:rsid w:val="00216B45"/>
    <w:rsid w:val="002201C4"/>
    <w:rsid w:val="0024736B"/>
    <w:rsid w:val="0026132E"/>
    <w:rsid w:val="00432FF2"/>
    <w:rsid w:val="00435408"/>
    <w:rsid w:val="004B194F"/>
    <w:rsid w:val="004C6290"/>
    <w:rsid w:val="00545F57"/>
    <w:rsid w:val="006F00C3"/>
    <w:rsid w:val="007400DD"/>
    <w:rsid w:val="00800FBB"/>
    <w:rsid w:val="0098607F"/>
    <w:rsid w:val="009D25D9"/>
    <w:rsid w:val="00A16F53"/>
    <w:rsid w:val="00A724BA"/>
    <w:rsid w:val="00AA2F4B"/>
    <w:rsid w:val="00B02A44"/>
    <w:rsid w:val="00BC2950"/>
    <w:rsid w:val="00BF6CE7"/>
    <w:rsid w:val="00C04041"/>
    <w:rsid w:val="00CF3B19"/>
    <w:rsid w:val="00D44B89"/>
    <w:rsid w:val="00D730AD"/>
    <w:rsid w:val="00F04C64"/>
    <w:rsid w:val="00FB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A6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C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425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5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5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6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78"/>
  </w:style>
  <w:style w:type="paragraph" w:styleId="Footer">
    <w:name w:val="footer"/>
    <w:basedOn w:val="Normal"/>
    <w:link w:val="FooterChar"/>
    <w:uiPriority w:val="99"/>
    <w:unhideWhenUsed/>
    <w:rsid w:val="000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A6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C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425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5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5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6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78"/>
  </w:style>
  <w:style w:type="paragraph" w:styleId="Footer">
    <w:name w:val="footer"/>
    <w:basedOn w:val="Normal"/>
    <w:link w:val="FooterChar"/>
    <w:uiPriority w:val="99"/>
    <w:unhideWhenUsed/>
    <w:rsid w:val="000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6566-37CE-4589-BE18-385E9EB5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1630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ETSMTL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Champagne</dc:creator>
  <cp:keywords/>
  <dc:description/>
  <cp:lastModifiedBy>Roger Champagne</cp:lastModifiedBy>
  <cp:revision>18</cp:revision>
  <dcterms:created xsi:type="dcterms:W3CDTF">2015-11-25T01:17:00Z</dcterms:created>
  <dcterms:modified xsi:type="dcterms:W3CDTF">2015-11-25T03:25:00Z</dcterms:modified>
</cp:coreProperties>
</file>