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développeur externe souhaite récupérer des données agrégées de différentes natures ou sur plusieurs périodes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Développeur e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xterne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développeur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 externe souhaite réduire le nombre total de requêtes qu’il envoie au système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Opérationnel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 permet de récupérer des données agrégées de différentes nature ou sur plusieurs périodes dans une seule requête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Nous utiliserons l'agrégation afin de permettre de répondre à de multiples demandes d’accès à des données dans une seule requête. Cette décision a l’avantage de réduire le nombre de requêtes acheminées à notre système et de réduire le délai de traitement pour les développeurs externes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l’agrégation est d’obtenir des requêtes qui contiennent trop de demandes. Ces requêtes ralentissent le processus de traitement, ainsi que les requêtes des autres développeurs. Il faudra limiter les requêtes à X messages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Cette décision ne demande pas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sur les autres attributs de qualité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CU03 - Changer le fichier source de données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 Le chargé de laboratoire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veut changer les fichier de source de données efficacement et sans possibilité d’erreur de sa part.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chargé de laboratoire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Environnement de démonstration du logiciel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fichier source des données a été changé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aucune erreur n’a été introduite en changeant le fichier source de données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4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peut générer un rapport de résultats à partir d’un ou plusieurs accidents.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essaye de générer des rapport efficacement.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Runtime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Système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feux circulation et accident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système retournera un rapport selon l'option sélectionnée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travail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système va générer un rapport selon les accidents et les statistiques de trafic pour retourner l’information facilement lisible.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Manipulation de donnée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excessive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L’information lisible et facilement manipulable 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6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Usabilité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requête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envoyé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pour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demandant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plusieures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iintersections, dont quelques unes d’entre elles n’existent pas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Minimiser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l’impact des erreurs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Développeur externe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Opération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Agrégateur 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Ressort les données valides tout en indiquant quelles intersections étaient invalides.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Ratio of successful error detections over total error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L'agrégateur de données a pour responsabilité de détecter les erreurs de requêtes et de formuler sont agrégat en conséquence.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Détecter des valeurs valides en tant que des erreurs.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Donner du feedback aux développeurs externes ainsi que leur donner ce que l’on peut aux prix de peut-être mal détecter ces erreurs.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LOG430-01-Equipe 09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Usabilité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L’utilisateur peut générer des résultats sur la qualité de l’air du secteur demandé.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essaie d'obtenir des données de l’API de manière efficace.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Utilisateur qui génère un rapport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Runtime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Notre API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système génère les résultats selon les paramètres fournis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temps pour afficher un résultats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système devra compiler les données pour donner des résultats pertinents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Manipulation de données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excessives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 perte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0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CU03 -  Servir une requête REST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Le client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fait une requête à n’importe quelle adresse du REST API de BocaREST.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client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 mode production en état stable.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Toutes les REST API de BocaREST.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Répond un code d’état HTTP accompagné d’une description textuelle de l’état de la réponse.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nombre de requêtes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ratées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 nombre de requêtes complètes.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 system model: Lorsque l’utilisateur rentre une mauvaise route, la réponse sera un code HTTP + la liste de toutes les routes possibles dans l’API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délai du serveur a expiré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LOG430-01-Equipe 20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Usabilité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logiciel client envoie une requête erroné au système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requête erroné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logiciel client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opérationnel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agrégateur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d’erreur est envoyer avec un code d’erreur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requête dont la gestion des erreurs n’a pas pue être géré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 des erreurs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aucun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