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E211" w14:textId="0C02DCEE" w:rsidR="004F7E63" w:rsidRPr="00170F76" w:rsidRDefault="0085176C" w:rsidP="004A1592">
      <w:pPr>
        <w:pStyle w:val="a0"/>
        <w:wordWrap w:val="0"/>
        <w:rPr>
          <w:rFonts w:hint="eastAsia"/>
          <w:b/>
        </w:rPr>
      </w:pPr>
      <w:bookmarkStart w:id="0" w:name="_Toc398804269"/>
      <w:r w:rsidRPr="0085176C">
        <w:rPr>
          <w:rFonts w:hint="eastAsia"/>
          <w:b/>
        </w:rPr>
        <w:t>基于持续同调理论的唐·德利洛晚期技术神学观研究</w:t>
      </w:r>
    </w:p>
    <w:p w14:paraId="1A4E5682" w14:textId="77777777" w:rsidR="00FD4580" w:rsidRPr="00170F76" w:rsidRDefault="00FD4580" w:rsidP="004A1592">
      <w:pPr>
        <w:wordWrap w:val="0"/>
      </w:pPr>
    </w:p>
    <w:bookmarkEnd w:id="0"/>
    <w:p w14:paraId="4A5972C5" w14:textId="77777777" w:rsidR="00E87D3C" w:rsidRPr="007D3537" w:rsidRDefault="00E87D3C" w:rsidP="004A1592">
      <w:pPr>
        <w:pStyle w:val="1"/>
        <w:widowControl w:val="0"/>
        <w:kinsoku/>
        <w:wordWrap w:val="0"/>
        <w:rPr>
          <w:rFonts w:hint="eastAsia"/>
        </w:rPr>
      </w:pPr>
      <w:r w:rsidRPr="007D3537">
        <w:rPr>
          <w:rFonts w:hint="eastAsia"/>
        </w:rPr>
        <w:t>第</w:t>
      </w:r>
      <w:r>
        <w:rPr>
          <w:rFonts w:ascii="Times New Roman" w:hAnsi="Times New Roman" w:hint="eastAsia"/>
        </w:rPr>
        <w:t>一</w:t>
      </w:r>
      <w:r w:rsidRPr="007D3537">
        <w:rPr>
          <w:rFonts w:hint="eastAsia"/>
        </w:rPr>
        <w:t>章</w:t>
      </w:r>
      <w:r w:rsidRPr="007D3537">
        <w:rPr>
          <w:rFonts w:hint="eastAsia"/>
        </w:rPr>
        <w:t xml:space="preserve"> </w:t>
      </w:r>
      <w:r>
        <w:rPr>
          <w:rFonts w:hint="eastAsia"/>
        </w:rPr>
        <w:t xml:space="preserve"> </w:t>
      </w:r>
      <w:r w:rsidRPr="009823B6">
        <w:rPr>
          <w:rFonts w:hint="eastAsia"/>
        </w:rPr>
        <w:t>引言</w:t>
      </w:r>
    </w:p>
    <w:p w14:paraId="22725A75" w14:textId="77777777" w:rsidR="009B369A" w:rsidRDefault="009B369A" w:rsidP="004A1592">
      <w:pPr>
        <w:wordWrap w:val="0"/>
        <w:ind w:firstLineChars="200" w:firstLine="420"/>
        <w:rPr>
          <w:rFonts w:eastAsiaTheme="minorEastAsia"/>
        </w:rPr>
      </w:pPr>
      <w:bookmarkStart w:id="1" w:name="_Toc398804270"/>
      <w:bookmarkStart w:id="2" w:name="_Hlk213848573"/>
      <w:bookmarkStart w:id="3" w:name="_Hlk213848587"/>
      <w:r>
        <w:rPr>
          <w:rFonts w:eastAsia="Times New Roman"/>
        </w:rPr>
        <w:t>在美国当代文学的宏大谱系中，唐·德利洛（Don DeLillo）的创作生涯构成了一部关于晚期资本主义精神状态与技术异化的精神现象学。从早期的社会学讽刺与黑色幽默，到中期的后现代极繁主义（Postmodern Maximalism），再到晚期风格中日益显著的形而上极简主义（Metaphysical Minimalism），德利洛的文本始终在一个核心的本体论张力中展开：即脆弱的人类主体性与日益庞大、无处不在且不可名状的技术系统之间的对峙。文学评论界普遍认为，这一对峙在德利洛创作的晚期——特别是2010年以后——发生了显著的本体论转向（Cowart, 2002）。</w:t>
      </w:r>
    </w:p>
    <w:p w14:paraId="1804FB9F" w14:textId="77777777" w:rsidR="009B369A" w:rsidRDefault="009B369A" w:rsidP="004A1592">
      <w:pPr>
        <w:wordWrap w:val="0"/>
        <w:ind w:firstLineChars="200" w:firstLine="420"/>
        <w:rPr>
          <w:rFonts w:hint="eastAsia"/>
        </w:rPr>
      </w:pPr>
      <w:r>
        <w:rPr>
          <w:rFonts w:eastAsia="Times New Roman"/>
        </w:rPr>
        <w:t>如果说在《白噪音》（White Noise）与《地下世界》（Underworld）等经典文本中，技术表现为一种喧嚣的感官过载、一种通过物质形式甚至是有毒废弃物来填充世界的“崇高客体”；那么在《欧米伽点》（Point Omega）、《零K》（Zero K）及《沉默》（The Silence）等晚期文本中，技术则发生了一种向内的、引力坍缩般的内爆。它不再致力于通过体积和数量来填充空间，而是致力于制造空洞；它不再通过巨大的物理体量引发康德式的“数学崇高”，而是通过“缺失”、“中断”与“静默”重构了神圣性的体验。在这些晚期文本中，屏幕熄灭，数据流中断，主体被抛入一种无对象的等待之中，技术从“在场”的暴政转变为“缺席”的恐怖。</w:t>
      </w:r>
    </w:p>
    <w:p w14:paraId="1235B052" w14:textId="77777777" w:rsidR="009B369A" w:rsidRDefault="009B369A" w:rsidP="004A1592">
      <w:pPr>
        <w:wordWrap w:val="0"/>
        <w:ind w:firstLineChars="200" w:firstLine="420"/>
        <w:rPr>
          <w:rFonts w:hint="eastAsia"/>
        </w:rPr>
      </w:pPr>
      <w:r>
        <w:rPr>
          <w:rFonts w:eastAsia="Times New Roman"/>
        </w:rPr>
        <w:t>这一深刻的转向被多位前沿学者描述为从“技术崇高”（Technological Sublime）向“否定神学”（Apophatic Theology）的过渡（Tabbi, 1995；Elmore, 2022）。技术不再是上帝的替代品，而是模仿了上帝的不可知性。然而，现有的文学批评多停留于定性的文本细读与哲学层面的理论阐释，缺乏一种能够精确表征这一结构性演变、并将之可视化的实证方法。与此同时，数字人文领域虽已广泛采用向量空间模型（Vector Space Models）来分析文学概念史或语义演变，但主流的基于欧几里得距离的测度方法（如余弦相似度、欧氏距离）存在根本性的认识论局限：它们将语义视为静态的空间位置，倾向于通过降维算法（如PCA或t-SNE）将高维数据压扁至低维平面，从而不可避免地丢失了语义流形中最为关键的内蕴结构——即数据的拓扑形状、连通性与孔洞（Gavin, 2018）。</w:t>
      </w:r>
    </w:p>
    <w:p w14:paraId="30B9FE0D" w14:textId="77777777" w:rsidR="009B369A" w:rsidRDefault="009B369A" w:rsidP="004A1592">
      <w:pPr>
        <w:wordWrap w:val="0"/>
        <w:ind w:firstLineChars="200" w:firstLine="420"/>
        <w:rPr>
          <w:rFonts w:hint="eastAsia"/>
        </w:rPr>
      </w:pPr>
      <w:r>
        <w:rPr>
          <w:rFonts w:eastAsia="Times New Roman"/>
        </w:rPr>
        <w:t>本研究旨在突破这一方法论瓶颈，创造性地引入代数拓扑学中的前沿工具——拓扑数据分析（Topological Data Analysis, TDA），特别是持续同调理论（Persistent Homology），来对德利洛的晚期风格进行量化剖析。本研究不仅仅局限于验证预设的假设，更试图采用无监督拓扑发现（Unsupervised Topological Discovery）的路径，让算法自动识别文本语义空间中的“结构性空缺”。核心假设是：德利洛晚期作品的语义流形中，会自动涌现出具有高维孔洞的非平凡拓扑结构，而构成这些孔洞边缘的词汇，将不再局限于单一领域，而是呈现出“技术词汇”与“神学词汇”的自发纠缠。通过计算贝蒂数（Betti Numbers）并提取同调生成元（Homology Generators），本研究试图在严谨的数学形式与晦涩的文学隐喻之间建立一座桥梁，为理解后人类时代的技术拜物教提供一种全新的、基于几何形态的证据。</w:t>
      </w:r>
    </w:p>
    <w:p w14:paraId="6A53FE67" w14:textId="77777777" w:rsidR="009B369A" w:rsidRDefault="009B369A" w:rsidP="004A1592">
      <w:pPr>
        <w:pStyle w:val="1"/>
        <w:widowControl w:val="0"/>
        <w:kinsoku/>
        <w:wordWrap w:val="0"/>
        <w:rPr>
          <w:rFonts w:hint="eastAsia"/>
        </w:rPr>
      </w:pPr>
      <w:r w:rsidRPr="004A1592">
        <w:t>文献综述与理论框架</w:t>
      </w:r>
    </w:p>
    <w:p w14:paraId="3353B2C6" w14:textId="77777777" w:rsidR="009B369A" w:rsidRDefault="009B369A" w:rsidP="004A1592">
      <w:pPr>
        <w:pStyle w:val="21"/>
        <w:rPr>
          <w:rFonts w:hint="eastAsia"/>
        </w:rPr>
      </w:pPr>
      <w:r>
        <w:t>2.1 技术崇高与否定神学的文学批评谱系</w:t>
      </w:r>
    </w:p>
    <w:p w14:paraId="2CFE2B59" w14:textId="77777777" w:rsidR="009B369A" w:rsidRDefault="009B369A" w:rsidP="004A1592">
      <w:pPr>
        <w:wordWrap w:val="0"/>
        <w:ind w:firstLineChars="200" w:firstLine="420"/>
        <w:rPr>
          <w:rFonts w:hint="eastAsia"/>
        </w:rPr>
      </w:pPr>
      <w:r>
        <w:rPr>
          <w:rFonts w:eastAsia="Times New Roman"/>
        </w:rPr>
        <w:t>关于德利洛小说中的技术主题，学术界已积累了丰厚的理论成果，形成了一个从“物质性”向“神性”演进的批评谱系。大卫·奈（Nye, 1994）在其奠基性著作《美国技术崇高》中界定了这一概念，指出随着工业化的进程，技术取代了壮丽的自然景观（如大峡谷、尼亚加拉大瀑布），成为引发人类敬畏与恐惧的新对象。约瑟夫·塔比（Tabbi, 1995）进一步将这一概</w:t>
      </w:r>
      <w:r>
        <w:rPr>
          <w:rFonts w:eastAsia="Times New Roman"/>
        </w:rPr>
        <w:lastRenderedPageBreak/>
        <w:t>念引入后现代文学批评，认为德利洛笔下的技术系统——无论是原子弹的蘑菇云还是全球金融网络的数字流——因其复杂性与不可知性，成为了一种“后现代崇高”。其本质是主体在面对超越其表征能力与认知极限的巨大客体时，所体验到的认知挫败与随之而来的痛感快感。</w:t>
      </w:r>
    </w:p>
    <w:p w14:paraId="2DD1D1DF" w14:textId="77777777" w:rsidR="009B369A" w:rsidRDefault="009B369A" w:rsidP="004A1592">
      <w:pPr>
        <w:wordWrap w:val="0"/>
        <w:ind w:firstLineChars="200" w:firstLine="420"/>
        <w:rPr>
          <w:rFonts w:hint="eastAsia"/>
        </w:rPr>
      </w:pPr>
      <w:r>
        <w:rPr>
          <w:rFonts w:eastAsia="Times New Roman"/>
        </w:rPr>
        <w:t>然而，针对德利洛2010年以后的创作，评论家们注意到了一种新的、更为内敛的趋势。特罗斯基（Terosky, 2021）指出，德利洛晚期作品展现了一种“否定神学的技术崇高”，这一概念借用了伪狄奥尼修斯（Pseudo-Dionysius）的神学传统，即上帝无法被肯定性的语言所定义，只能通过否定其属性（非大、非小、非善、非恶）来逼近。在《沉默》中，全球性的屏幕熄灭并非技术的单纯失效，而是技术作为“大他者”的终极显现——一种纯粹的、无内容的、绝对的在场。这种通过“否定”、“静默”与“缺失”来定义最高存在的逻辑，与中世纪否定神学的传统形成了互文。技术成为了一个新的“空神”，它不提供救赎，只提供在场的虚无。然而，目前的批评话语大多局限于隐喻层面的类比，未能揭示这种“缺失”在语言深层结构中的具体形态，也未能解释这种神学转向如何在微观的语言统计学特征中得以体现。</w:t>
      </w:r>
    </w:p>
    <w:p w14:paraId="656D1800" w14:textId="77777777" w:rsidR="009B369A" w:rsidRDefault="009B369A" w:rsidP="004A1592">
      <w:pPr>
        <w:pStyle w:val="21"/>
        <w:rPr>
          <w:rFonts w:hint="eastAsia"/>
        </w:rPr>
      </w:pPr>
      <w:r>
        <w:t>2.2 计算文体学中的空间模型及其认识论局限</w:t>
      </w:r>
    </w:p>
    <w:p w14:paraId="253E967D" w14:textId="77777777" w:rsidR="009B369A" w:rsidRDefault="009B369A" w:rsidP="004A1592">
      <w:pPr>
        <w:wordWrap w:val="0"/>
        <w:ind w:firstLineChars="200" w:firstLine="420"/>
        <w:rPr>
          <w:rFonts w:hint="eastAsia"/>
        </w:rPr>
      </w:pPr>
      <w:r>
        <w:rPr>
          <w:rFonts w:eastAsia="Times New Roman"/>
        </w:rPr>
        <w:t>在数字人文领域，随着深度学习的发展，词嵌入技术（Word Embeddings）已成为分析文学概念史与风格演变的主流工具。加文（Gavin, 2018）论证了向量空间模型在捕捉语义关系方面的有效性，认为语义距离的远近可以映射概念的关联强度，词向量的类比运算可以揭示潜在的文化偏见。然而，传统的向量分析高度依赖于几何距离与降维可视化。</w:t>
      </w:r>
    </w:p>
    <w:p w14:paraId="6D1FEEC2" w14:textId="77777777" w:rsidR="009B369A" w:rsidRDefault="009B369A" w:rsidP="004A1592">
      <w:pPr>
        <w:wordWrap w:val="0"/>
        <w:ind w:firstLineChars="200" w:firstLine="420"/>
        <w:rPr>
          <w:rFonts w:hint="eastAsia"/>
        </w:rPr>
      </w:pPr>
      <w:r>
        <w:rPr>
          <w:rFonts w:eastAsia="Times New Roman"/>
        </w:rPr>
        <w:t>卡尔森（Carlsson, 2009）从纯数学角度批评了这种做法，指出高维数据（如768维的BERT向量）往往并非均匀分布，而是聚集在低维流形上，并包含复杂的拓扑结构（如环、空腔、耀斑）。传统的统计方法（如均值、方差）和降维过程往往会破坏这些结构。例如，将一个环形结构压扁到二维平面，可能会使其看起来像一个致密的团簇，从而丢失了数据关于“循环性”或“空洞”的关键信息。对于本研究而言，如果德利洛的技术观确实演变为一种“围绕虚无旋转”的结构，那么传统的线性距离测量将无法识别这一特征，唯有关注数据“形状”的拓扑学方法方能奏效。这要求研究者从关注“词汇在哪里”（位置）转向关注“词汇构成了什么形状”（拓扑）。</w:t>
      </w:r>
    </w:p>
    <w:p w14:paraId="7D176EE6" w14:textId="77777777" w:rsidR="009B369A" w:rsidRDefault="009B369A" w:rsidP="004A1592">
      <w:pPr>
        <w:pStyle w:val="21"/>
        <w:rPr>
          <w:rFonts w:hint="eastAsia"/>
        </w:rPr>
      </w:pPr>
      <w:r>
        <w:t>2.3 持续同调理论的方法论适用性</w:t>
      </w:r>
    </w:p>
    <w:p w14:paraId="07067973" w14:textId="77777777" w:rsidR="009B369A" w:rsidRDefault="009B369A" w:rsidP="004A1592">
      <w:pPr>
        <w:wordWrap w:val="0"/>
        <w:ind w:firstLineChars="200" w:firstLine="420"/>
        <w:rPr>
          <w:rFonts w:hint="eastAsia"/>
        </w:rPr>
      </w:pPr>
      <w:r>
        <w:rPr>
          <w:rFonts w:eastAsia="Times New Roman"/>
        </w:rPr>
        <w:t>拓扑数据分析（TDA）作为一种新兴的数据科学范式，近年来开始涉足文本分析领域，为解决上述问题提供了可能。瓦格纳等人（Wagner et al., 2012）综述了计算拓扑在数字人文中的应用前景，指出持续同调能够跨越尺度捕捉数据的稳健特征，不受局部噪音与坐标变换的影响。在文本分析中，已有先驱性研究利用贝蒂数来区分文体风格或作者归属（Gholizadeh et al., 2020），证明了拓扑特征具有独立于传统词频特征之外的分类能力。</w:t>
      </w:r>
    </w:p>
    <w:p w14:paraId="1E6DE90D" w14:textId="77777777" w:rsidR="009B369A" w:rsidRDefault="009B369A" w:rsidP="004A1592">
      <w:pPr>
        <w:wordWrap w:val="0"/>
        <w:ind w:firstLineChars="200" w:firstLine="420"/>
        <w:rPr>
          <w:rFonts w:hint="eastAsia"/>
        </w:rPr>
      </w:pPr>
      <w:r>
        <w:rPr>
          <w:rFonts w:eastAsia="Times New Roman"/>
        </w:rPr>
        <w:t>然而，现有研究多侧重于工程分类任务，旨在提高算法的准确率，鲜有研究将其上升到文学本体论的阐释高度，或将其用于验证具体的文学批评假设。本研究的创新之处在于，将TDA中的核心概念——“孔洞”（Holes/Void）与“贝蒂数”（Betti Numbers）——直接对应于文学批评中的“否定神学”与“语义缺失”，实现数学形式与哲学内容的深度同构。我们不仅仅是用数学来验证文学，更是试图用拓扑学语言重写文学批评中的核心隐喻。</w:t>
      </w:r>
    </w:p>
    <w:p w14:paraId="79925B01" w14:textId="77777777" w:rsidR="009B369A" w:rsidRPr="004A1592" w:rsidRDefault="009B369A" w:rsidP="004A1592">
      <w:pPr>
        <w:pStyle w:val="1"/>
        <w:kinsoku/>
        <w:wordWrap w:val="0"/>
        <w:rPr>
          <w:rFonts w:hint="eastAsia"/>
        </w:rPr>
      </w:pPr>
      <w:r>
        <w:t>研究设计与方法论</w:t>
      </w:r>
    </w:p>
    <w:p w14:paraId="7EBA39E8" w14:textId="77777777" w:rsidR="009B369A" w:rsidRDefault="009B369A" w:rsidP="004A1592">
      <w:pPr>
        <w:wordWrap w:val="0"/>
        <w:ind w:firstLineChars="200" w:firstLine="420"/>
        <w:rPr>
          <w:rFonts w:hint="eastAsia"/>
        </w:rPr>
      </w:pPr>
      <w:r>
        <w:rPr>
          <w:rFonts w:eastAsia="Times New Roman"/>
        </w:rPr>
        <w:t>本研究采用实证主义与解释学相结合的混合研究路径。在本体论层面，基于流形假设（Manifold Hypothesis），认为自然语言的语义分布嵌入于高维流形之中，其几何结构编码了语义信息；在方法论层面，本研究并不依赖预设的词表进行验证，而是构建了一个无监督的拓</w:t>
      </w:r>
      <w:r>
        <w:rPr>
          <w:rFonts w:eastAsia="Times New Roman"/>
        </w:rPr>
        <w:lastRenderedPageBreak/>
        <w:t>扑发现框架（Unsupervised Topological Discovery Framework），让文本自身的语义结构通过数学形式自然涌现。</w:t>
      </w:r>
    </w:p>
    <w:p w14:paraId="494C85EC" w14:textId="77777777" w:rsidR="009B369A" w:rsidRDefault="009B369A" w:rsidP="004A1592">
      <w:pPr>
        <w:pStyle w:val="21"/>
        <w:rPr>
          <w:rFonts w:hint="eastAsia"/>
        </w:rPr>
      </w:pPr>
      <w:r>
        <w:t>3.1 语料库构建与二元锚定策略</w:t>
      </w:r>
    </w:p>
    <w:p w14:paraId="17BA8654" w14:textId="77777777" w:rsidR="009B369A" w:rsidRDefault="009B369A" w:rsidP="004A1592">
      <w:pPr>
        <w:wordWrap w:val="0"/>
        <w:ind w:firstLineChars="200" w:firstLine="420"/>
        <w:rPr>
          <w:rFonts w:hint="eastAsia"/>
        </w:rPr>
      </w:pPr>
      <w:r>
        <w:rPr>
          <w:rFonts w:eastAsia="Times New Roman"/>
        </w:rPr>
        <w:t>为确保历时比较的有效性与针对性，本研究构建了一个包含约四十万词的二元对比语料库，旨在最大化“物质性”与“虚无性”的对比张力。</w:t>
      </w:r>
    </w:p>
    <w:p w14:paraId="69C004F4" w14:textId="77777777" w:rsidR="009B369A" w:rsidRDefault="009B369A" w:rsidP="004A1592">
      <w:pPr>
        <w:wordWrap w:val="0"/>
        <w:ind w:firstLineChars="200" w:firstLine="420"/>
        <w:rPr>
          <w:rFonts w:hint="eastAsia"/>
        </w:rPr>
      </w:pPr>
      <w:r>
        <w:rPr>
          <w:rFonts w:eastAsia="Times New Roman"/>
        </w:rPr>
        <w:t>基准组（Baseline Group）选取德利洛早中期的两部代表作：《白噪音》（1985）与《地下世界》（1997）。这两部作品代表了“物质性技术”与“后现代极繁主义”的巅峰。在《白噪音》中，技术表现为超市扫描仪的数据流、药物Dylar的分子结构以及电视广播的背景噪音，它们是具体的、可感的、填充日常生活的客体；在《地下世界》中，技术体现为核武器的崇高力量与废弃物管理的庞大系统，物质的堆积达到了史诗般的规模。此阶段的技术是具象的、填充性的，预计其语义结构呈现为致密、单连通的流形。</w:t>
      </w:r>
    </w:p>
    <w:p w14:paraId="068AE693" w14:textId="77777777" w:rsidR="009B369A" w:rsidRDefault="009B369A" w:rsidP="004A1592">
      <w:pPr>
        <w:wordWrap w:val="0"/>
        <w:ind w:firstLineChars="200" w:firstLine="420"/>
        <w:rPr>
          <w:rFonts w:hint="eastAsia"/>
        </w:rPr>
      </w:pPr>
      <w:r>
        <w:rPr>
          <w:rFonts w:eastAsia="Times New Roman"/>
        </w:rPr>
        <w:t>目标组（Target Group）选取晚期的三部关键文本：《欧米伽点》（2010）、《零K》（2016）与《沉默》（2020）。这三部作品构成了德利洛的“晚期极简主义三部曲”。其中，《欧米伽点》借用泰亚尔·德·夏尔丹的概念，探讨意识向终极点的收敛；《零K》涉及人体冷冻与永生技术，身体被悬置于生与死的阈限，技术承诺了一种超越生物性的永恒；《沉默》则描绘了数字基础设施全面瘫痪后的世界，屏幕的熄灭迫使人物面对本体论层面的缺失。此阶段的技术逐渐剥离了物质外壳，演变为一种纯粹的时间形式或意识状态，预计其语义结构将呈现出高维孔洞或环形拓扑。</w:t>
      </w:r>
    </w:p>
    <w:p w14:paraId="19BC5864" w14:textId="77777777" w:rsidR="009B369A" w:rsidRDefault="009B369A" w:rsidP="004A1592">
      <w:pPr>
        <w:pStyle w:val="21"/>
        <w:rPr>
          <w:rFonts w:hint="eastAsia"/>
        </w:rPr>
      </w:pPr>
      <w:r>
        <w:t>3.2 语义流形的全局构建：全量无监督嵌入</w:t>
      </w:r>
    </w:p>
    <w:p w14:paraId="6997B6A3" w14:textId="77777777" w:rsidR="009B369A" w:rsidRDefault="009B369A" w:rsidP="004A1592">
      <w:pPr>
        <w:wordWrap w:val="0"/>
        <w:ind w:firstLineChars="200" w:firstLine="420"/>
        <w:rPr>
          <w:rFonts w:hint="eastAsia"/>
        </w:rPr>
      </w:pPr>
      <w:r>
        <w:rPr>
          <w:rFonts w:eastAsia="Times New Roman"/>
        </w:rPr>
        <w:t>为了避免预设词表带来的“研究者偏差”（Researcher Bias），本研究将不对词汇进行人工筛选，而是对文本进行全量的语义映射。</w:t>
      </w:r>
    </w:p>
    <w:p w14:paraId="7C4681E6" w14:textId="77777777" w:rsidR="009B369A" w:rsidRDefault="009B369A" w:rsidP="004A1592">
      <w:pPr>
        <w:wordWrap w:val="0"/>
        <w:ind w:firstLineChars="200" w:firstLine="420"/>
        <w:rPr>
          <w:rFonts w:hint="eastAsia"/>
        </w:rPr>
      </w:pPr>
      <w:r>
        <w:rPr>
          <w:rFonts w:eastAsia="Times New Roman"/>
        </w:rPr>
        <w:t xml:space="preserve">全量实词嵌入（Global Content Word Embedding）： 利用 bert-base-cased 模型，提取语料库中所有出现频率高于阈值（如 </w:t>
      </w:r>
      <m:oMath>
        <m:r>
          <w:rPr>
            <w:rFonts w:ascii="Cambria Math" w:hAnsi="Cambria Math"/>
          </w:rPr>
          <m:t>n</m:t>
        </m:r>
        <m:r>
          <m:rPr>
            <m:sty m:val="p"/>
          </m:rPr>
          <w:rPr>
            <w:rFonts w:ascii="Cambria Math" w:hAnsi="Cambria Math"/>
          </w:rPr>
          <m:t>&gt;5</m:t>
        </m:r>
      </m:oMath>
      <w:r>
        <w:rPr>
          <w:rFonts w:eastAsia="Times New Roman"/>
        </w:rPr>
        <w:t>）的实词（名词、动词、形容词）的上下文向量。这不仅仅是提取“技术”或“神学”词汇，而是包括了文本中的“等待”、“凝视”、“房间”、“时间”等所有构建叙事世界的砖块。</w:t>
      </w:r>
    </w:p>
    <w:p w14:paraId="37F249F8" w14:textId="77777777" w:rsidR="009B369A" w:rsidRDefault="009B369A" w:rsidP="004A1592">
      <w:pPr>
        <w:wordWrap w:val="0"/>
        <w:ind w:firstLineChars="200" w:firstLine="420"/>
        <w:rPr>
          <w:rFonts w:hint="eastAsia"/>
        </w:rPr>
      </w:pPr>
      <w:r>
        <w:rPr>
          <w:rFonts w:eastAsia="Times New Roman"/>
        </w:rPr>
        <w:t xml:space="preserve">语义点云构建（Semantic Point Cloud）： 对于每一部作品，我们将获得一个包含数万个点的高维点云集合 </w:t>
      </w:r>
      <m:oMath>
        <m:sSub>
          <m:sSubPr>
            <m:ctrlPr>
              <w:rPr>
                <w:rFonts w:ascii="Cambria Math" w:hAnsi="Cambria Math"/>
              </w:rPr>
            </m:ctrlPr>
          </m:sSubPr>
          <m:e>
            <m:r>
              <w:rPr>
                <w:rFonts w:ascii="Cambria Math" w:hAnsi="Cambria Math"/>
              </w:rPr>
              <m:t>X</m:t>
            </m:r>
          </m:e>
          <m:sub>
            <m:r>
              <w:rPr>
                <w:rFonts w:ascii="Cambria Math" w:hAnsi="Cambria Math"/>
              </w:rPr>
              <m:t>global</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768</m:t>
            </m:r>
          </m:sup>
        </m:sSup>
      </m:oMath>
      <w:r>
        <w:rPr>
          <w:rFonts w:eastAsia="Times New Roman"/>
        </w:rPr>
        <w:t>。这个点云代表了该小说的完整语义宇宙。在这个宇宙中，每一个点都是一个词在特定时刻的意义瞬间。</w:t>
      </w:r>
    </w:p>
    <w:p w14:paraId="650C7AD8" w14:textId="77777777" w:rsidR="009B369A" w:rsidRDefault="009B369A" w:rsidP="004A1592">
      <w:pPr>
        <w:wordWrap w:val="0"/>
        <w:ind w:firstLineChars="200" w:firstLine="420"/>
        <w:rPr>
          <w:rFonts w:hint="eastAsia"/>
        </w:rPr>
      </w:pPr>
      <w:r>
        <w:rPr>
          <w:rFonts w:eastAsia="Times New Roman"/>
        </w:rPr>
        <w:t>见证复形策略（Witness Complex Strategy）： 鉴于计算全量点云的拓扑特征计算量巨大，我们将采用“见证复形”算法。即选取一组具有代表性的“路标点”（Landmarks），利用其余数据点作为“见证者”来构建复形。这既保留了全局的拓扑结构，又使得计算在可接受的时间范围内。</w:t>
      </w:r>
    </w:p>
    <w:p w14:paraId="2AD1A2D0" w14:textId="77777777" w:rsidR="009B369A" w:rsidRDefault="009B369A" w:rsidP="004A1592">
      <w:pPr>
        <w:pStyle w:val="21"/>
        <w:rPr>
          <w:rFonts w:hint="eastAsia"/>
        </w:rPr>
      </w:pPr>
      <w:r>
        <w:t>3.3 拓扑特征计算：持续同调与无监督空洞检测</w:t>
      </w:r>
    </w:p>
    <w:p w14:paraId="475FC015" w14:textId="77777777" w:rsidR="009B369A" w:rsidRDefault="009B369A" w:rsidP="004A1592">
      <w:pPr>
        <w:wordWrap w:val="0"/>
        <w:ind w:firstLineChars="200" w:firstLine="420"/>
        <w:rPr>
          <w:rFonts w:hint="eastAsia"/>
        </w:rPr>
      </w:pPr>
      <w:r>
        <w:rPr>
          <w:rFonts w:eastAsia="Times New Roman"/>
        </w:rPr>
        <w:t>利用持续同调（Persistent Homology）技术，我们不再询问“技术词汇是否有空洞”，而是询问“这个文本中最大的空洞由什么构成？”。</w:t>
      </w:r>
    </w:p>
    <w:p w14:paraId="3F58BA26" w14:textId="77777777" w:rsidR="009B369A" w:rsidRDefault="009B369A" w:rsidP="004A1592">
      <w:pPr>
        <w:wordWrap w:val="0"/>
        <w:ind w:firstLineChars="200" w:firstLine="420"/>
        <w:rPr>
          <w:rFonts w:hint="eastAsia"/>
        </w:rPr>
      </w:pPr>
      <w:r>
        <w:rPr>
          <w:rFonts w:eastAsia="Times New Roman"/>
        </w:rPr>
        <w:t xml:space="preserve">Vietoris-Rips 过滤与条码图（Filtration &amp; Barcodes）： 随着尺度参数 </w:t>
      </w:r>
      <m:oMath>
        <m:r>
          <w:rPr>
            <w:rFonts w:ascii="Cambria Math" w:hAnsi="Cambria Math"/>
          </w:rPr>
          <m:t>ϵ</m:t>
        </m:r>
      </m:oMath>
      <w:r>
        <w:rPr>
          <w:rFonts w:eastAsia="Times New Roman"/>
        </w:rPr>
        <w:t xml:space="preserve"> 的增加，观察全量语义点云中出现的拓扑特征。我们特别关注高持久性（High Persistence）的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oMath>
      <w:r>
        <w:rPr>
          <w:rFonts w:eastAsia="Times New Roman"/>
        </w:rPr>
        <w:t>（一维环）特征。这些长条码代表了文本中极其稳固的语义循环结构——即那些无法被归纳为单一中心</w:t>
      </w:r>
      <w:r>
        <w:rPr>
          <w:rFonts w:eastAsia="Times New Roman"/>
        </w:rPr>
        <w:lastRenderedPageBreak/>
        <w:t>意义，而是必须通过“绕圈子”来定义的深层概念。</w:t>
      </w:r>
    </w:p>
    <w:p w14:paraId="49EA1973" w14:textId="77777777" w:rsidR="009B369A" w:rsidRDefault="009B369A" w:rsidP="004A1592">
      <w:pPr>
        <w:wordWrap w:val="0"/>
        <w:ind w:firstLineChars="200" w:firstLine="420"/>
        <w:rPr>
          <w:rFonts w:hint="eastAsia"/>
        </w:rPr>
      </w:pPr>
      <w:r>
        <w:rPr>
          <w:rFonts w:eastAsia="Times New Roman"/>
        </w:rPr>
        <w:t xml:space="preserve">同调生成元的逆向追踪（Inverse Mapping of Homology Generators）： 这是本研究方法论中最具创新性的步骤。当我们在数学层面发现了一个高持久性的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oMath>
      <w:r>
        <w:rPr>
          <w:rFonts w:eastAsia="Times New Roman"/>
        </w:rPr>
        <w:t xml:space="preserve"> 特征（一个巨大的“洞”）后，我们将利用同调生成元算法，逆向追踪构成这个“洞”的边界的具体数据点（词汇）。</w:t>
      </w:r>
    </w:p>
    <w:p w14:paraId="34DF1BDB" w14:textId="77777777" w:rsidR="009B369A" w:rsidRDefault="009B369A" w:rsidP="004A1592">
      <w:pPr>
        <w:wordWrap w:val="0"/>
        <w:ind w:firstLineChars="200" w:firstLine="420"/>
        <w:rPr>
          <w:rFonts w:hint="eastAsia"/>
        </w:rPr>
      </w:pPr>
      <w:r>
        <w:rPr>
          <w:rFonts w:eastAsia="Times New Roman"/>
        </w:rPr>
        <w:t>算法逻辑： 如果 TDA 告诉我们存在一个显著的空洞，我们便问：“是哪些词围成了这个洞？”</w:t>
      </w:r>
    </w:p>
    <w:p w14:paraId="6E3C7A8C" w14:textId="77777777" w:rsidR="009B369A" w:rsidRDefault="009B369A" w:rsidP="004A1592">
      <w:pPr>
        <w:wordWrap w:val="0"/>
        <w:ind w:firstLineChars="200" w:firstLine="420"/>
        <w:rPr>
          <w:rFonts w:hint="eastAsia"/>
        </w:rPr>
      </w:pPr>
      <w:r>
        <w:rPr>
          <w:rFonts w:eastAsia="Times New Roman"/>
        </w:rPr>
        <w:t>无监督的验证： 如果我们的假设成立，那么在晚期作品的这些“自动发现”的空洞边缘，应当自发地同时出现技术词汇（Screen, Data）与神学/存在主义词汇（Void, God, Stare）。这将是“技术即神学”最客观的数学证明，因为它不是由我们预设的，而是由数据的拓扑结构“涌现”出来的。</w:t>
      </w:r>
    </w:p>
    <w:p w14:paraId="21362C78" w14:textId="77777777" w:rsidR="009B369A" w:rsidRDefault="009B369A" w:rsidP="004A1592">
      <w:pPr>
        <w:pStyle w:val="21"/>
        <w:rPr>
          <w:rFonts w:hint="eastAsia"/>
        </w:rPr>
      </w:pPr>
      <w:r>
        <w:t>3.4 语义骨架的可视化：Mapper 算法</w:t>
      </w:r>
    </w:p>
    <w:p w14:paraId="3654C8BE" w14:textId="77777777" w:rsidR="009B369A" w:rsidRDefault="009B369A" w:rsidP="004A1592">
      <w:pPr>
        <w:wordWrap w:val="0"/>
        <w:ind w:firstLineChars="200" w:firstLine="420"/>
        <w:rPr>
          <w:rFonts w:hint="eastAsia"/>
        </w:rPr>
      </w:pPr>
      <w:r>
        <w:rPr>
          <w:rFonts w:eastAsia="Times New Roman"/>
        </w:rPr>
        <w:t>除了同调群，我们还将引入 Mapper 算法（Singh et al., 2007）来生成文本语义的整体“骨架图”（Reeb Graph）。</w:t>
      </w:r>
    </w:p>
    <w:p w14:paraId="6DA5EFFF" w14:textId="77777777" w:rsidR="009B369A" w:rsidRDefault="009B369A" w:rsidP="004A1592">
      <w:pPr>
        <w:wordWrap w:val="0"/>
        <w:ind w:firstLineChars="200" w:firstLine="420"/>
        <w:rPr>
          <w:rFonts w:hint="eastAsia"/>
        </w:rPr>
      </w:pPr>
      <w:r>
        <w:rPr>
          <w:rFonts w:eastAsia="Times New Roman"/>
        </w:rPr>
        <w:t>透镜函数与聚类（Lenses &amp; Clustering）： 使用非线性降维（如 UMAP）作为透镜函数，将高维数据映射到低维空间进行重叠聚类。</w:t>
      </w:r>
    </w:p>
    <w:p w14:paraId="11F4F4B6" w14:textId="77777777" w:rsidR="009B369A" w:rsidRDefault="009B369A" w:rsidP="004A1592">
      <w:pPr>
        <w:wordWrap w:val="0"/>
        <w:ind w:firstLineChars="200" w:firstLine="420"/>
        <w:rPr>
          <w:rFonts w:hint="eastAsia"/>
        </w:rPr>
      </w:pPr>
      <w:r>
        <w:rPr>
          <w:rFonts w:eastAsia="Times New Roman"/>
        </w:rPr>
        <w:t>图结构生成： 将重叠的聚类连接成图。Mapper 算法能够将高维点云简化为一个类似于地铁线路图的拓扑骨架。</w:t>
      </w:r>
    </w:p>
    <w:p w14:paraId="7D5CB352" w14:textId="77777777" w:rsidR="009B369A" w:rsidRDefault="009B369A" w:rsidP="004A1592">
      <w:pPr>
        <w:wordWrap w:val="0"/>
        <w:ind w:firstLineChars="200" w:firstLine="420"/>
        <w:rPr>
          <w:rFonts w:hint="eastAsia"/>
        </w:rPr>
      </w:pPr>
      <w:r>
        <w:rPr>
          <w:rFonts w:eastAsia="Times New Roman"/>
        </w:rPr>
        <w:t>结构识别： 我们将在生成的图中寻找特定的形状结构：</w:t>
      </w:r>
    </w:p>
    <w:p w14:paraId="68583C62" w14:textId="77777777" w:rsidR="009B369A" w:rsidRDefault="009B369A" w:rsidP="004A1592">
      <w:pPr>
        <w:wordWrap w:val="0"/>
        <w:ind w:firstLineChars="200" w:firstLine="420"/>
        <w:rPr>
          <w:rFonts w:hint="eastAsia"/>
        </w:rPr>
      </w:pPr>
      <w:r>
        <w:rPr>
          <w:rFonts w:eastAsia="Times New Roman"/>
        </w:rPr>
        <w:t>核心-边缘结构（Core-Periphery）： 早期作品是否呈现出一个致密的核心？</w:t>
      </w:r>
    </w:p>
    <w:p w14:paraId="1C117583" w14:textId="77777777" w:rsidR="009B369A" w:rsidRDefault="009B369A" w:rsidP="004A1592">
      <w:pPr>
        <w:wordWrap w:val="0"/>
        <w:ind w:firstLineChars="200" w:firstLine="420"/>
        <w:rPr>
          <w:rFonts w:hint="eastAsia"/>
        </w:rPr>
      </w:pPr>
      <w:r>
        <w:rPr>
          <w:rFonts w:eastAsia="Times New Roman"/>
        </w:rPr>
        <w:t>环状结构（Loops）： 晚期作品是否呈现出巨大的空心环？</w:t>
      </w:r>
    </w:p>
    <w:p w14:paraId="64D5EA5F" w14:textId="77777777" w:rsidR="009B369A" w:rsidRDefault="009B369A" w:rsidP="004A1592">
      <w:pPr>
        <w:wordWrap w:val="0"/>
        <w:ind w:firstLineChars="200" w:firstLine="420"/>
        <w:rPr>
          <w:rFonts w:hint="eastAsia"/>
        </w:rPr>
      </w:pPr>
      <w:r>
        <w:rPr>
          <w:rFonts w:eastAsia="Times New Roman"/>
        </w:rPr>
        <w:t>耀斑结构（Flares）： 是否有某些概念分支伸向虚无？</w:t>
      </w:r>
    </w:p>
    <w:p w14:paraId="7D8D18CC" w14:textId="77777777" w:rsidR="009B369A" w:rsidRDefault="009B369A" w:rsidP="004A1592">
      <w:pPr>
        <w:pStyle w:val="1"/>
        <w:kinsoku/>
        <w:wordWrap w:val="0"/>
        <w:rPr>
          <w:rFonts w:hint="eastAsia"/>
        </w:rPr>
      </w:pPr>
      <w:r>
        <w:t>预期结果与讨论</w:t>
      </w:r>
    </w:p>
    <w:p w14:paraId="28FD4598" w14:textId="77777777" w:rsidR="009B369A" w:rsidRDefault="009B369A" w:rsidP="004A1592">
      <w:pPr>
        <w:wordWrap w:val="0"/>
        <w:ind w:firstLineChars="200" w:firstLine="420"/>
        <w:rPr>
          <w:rFonts w:hint="eastAsia"/>
        </w:rPr>
      </w:pPr>
      <w:r>
        <w:rPr>
          <w:rFonts w:eastAsia="Times New Roman"/>
        </w:rPr>
        <w:t>基于上述无监督的拓扑发现框架，本研究预期将获得以下关键发现，并据此展开深入的文学与哲学讨论。</w:t>
      </w:r>
    </w:p>
    <w:p w14:paraId="176398E2" w14:textId="77777777" w:rsidR="009B369A" w:rsidRDefault="009B369A" w:rsidP="004A1592">
      <w:pPr>
        <w:pStyle w:val="21"/>
        <w:rPr>
          <w:rFonts w:hint="eastAsia"/>
        </w:rPr>
      </w:pPr>
      <w:r>
        <w:t>4.1 自动涌现的“神性-技术”空洞</w:t>
      </w:r>
    </w:p>
    <w:p w14:paraId="62ECE693" w14:textId="77777777" w:rsidR="009B369A" w:rsidRDefault="009B369A" w:rsidP="004A1592">
      <w:pPr>
        <w:wordWrap w:val="0"/>
        <w:ind w:firstLineChars="200" w:firstLine="420"/>
        <w:rPr>
          <w:rFonts w:hint="eastAsia"/>
        </w:rPr>
      </w:pPr>
      <w:r>
        <w:rPr>
          <w:rFonts w:eastAsia="Times New Roman"/>
        </w:rPr>
        <w:t>在基准组（《白噪音》、《地下世界》）中，预期全量点云的拓扑结构将呈现为多中心的致密团簇（Multi-centered Clusters）。同调生成元的逆向追踪将显示，技术词汇聚集在“物质/消费”团簇，神学词汇聚集在“宗教/恐惧”团簇，两者在拓扑上是分离的，中间由致密的日常语言填充。这反映了早期作品中，虽然技术无处不在，但它主要作为一种社会实体存在，与神圣体验有明确的界限。</w:t>
      </w:r>
    </w:p>
    <w:p w14:paraId="35567264" w14:textId="77777777" w:rsidR="009B369A" w:rsidRDefault="009B369A" w:rsidP="004A1592">
      <w:pPr>
        <w:wordWrap w:val="0"/>
        <w:ind w:firstLineChars="200" w:firstLine="420"/>
        <w:rPr>
          <w:rFonts w:hint="eastAsia"/>
        </w:rPr>
      </w:pPr>
      <w:r>
        <w:rPr>
          <w:rFonts w:eastAsia="Times New Roman"/>
        </w:rPr>
        <w:t>相反，在目标组（《零K》、《沉默》）中，预期将出现高持久性的全局性空洞（Global Voids）。最关键的是，当我们提取构成这些空洞边缘的词汇时，预期将发现一种语义的混杂性（Semantic Hybridity）：</w:t>
      </w:r>
    </w:p>
    <w:p w14:paraId="506F29C3" w14:textId="77777777" w:rsidR="009B369A" w:rsidRDefault="009B369A" w:rsidP="004A1592">
      <w:pPr>
        <w:wordWrap w:val="0"/>
        <w:ind w:firstLineChars="200" w:firstLine="420"/>
        <w:rPr>
          <w:rFonts w:hint="eastAsia"/>
        </w:rPr>
      </w:pPr>
      <w:r>
        <w:rPr>
          <w:rFonts w:eastAsia="Times New Roman"/>
        </w:rPr>
        <w:t>词汇共现的拓扑化： 构成同一个巨大空洞边缘的，将不再是单一类别的词汇，而是“屏幕”（Screen）、“数据”（Data）与“永恒”（Eternal）、“凝视”（Stare）、“等待”（Wait）的交织。</w:t>
      </w:r>
    </w:p>
    <w:p w14:paraId="53A209F6" w14:textId="77777777" w:rsidR="009B369A" w:rsidRDefault="009B369A" w:rsidP="004A1592">
      <w:pPr>
        <w:wordWrap w:val="0"/>
        <w:ind w:firstLineChars="200" w:firstLine="420"/>
        <w:rPr>
          <w:rFonts w:hint="eastAsia"/>
        </w:rPr>
      </w:pPr>
      <w:r>
        <w:rPr>
          <w:rFonts w:eastAsia="Times New Roman"/>
        </w:rPr>
        <w:t>解释： 这意味着在晚期风格中，技术词汇和神学词汇成为了定义同一个“不可言说之物”的两种互补语言。它们共同围猎一个缺失的中心。这种通过算法自动发现的“词汇纠缠”，比人工预设的词组对比具有更强的说服力，它证明了这种本体论的融合是文本内蕴的结构属性。</w:t>
      </w:r>
    </w:p>
    <w:p w14:paraId="0A650055" w14:textId="77777777" w:rsidR="009B369A" w:rsidRDefault="009B369A" w:rsidP="004A1592">
      <w:pPr>
        <w:pStyle w:val="21"/>
        <w:rPr>
          <w:rFonts w:hint="eastAsia"/>
        </w:rPr>
      </w:pPr>
      <w:r>
        <w:lastRenderedPageBreak/>
        <w:t>4.2 极简主义的拓扑解释：从“少”到“空”</w:t>
      </w:r>
    </w:p>
    <w:p w14:paraId="5FCA67D0" w14:textId="77777777" w:rsidR="009B369A" w:rsidRDefault="009B369A" w:rsidP="004A1592">
      <w:pPr>
        <w:wordWrap w:val="0"/>
        <w:ind w:firstLineChars="200" w:firstLine="420"/>
        <w:rPr>
          <w:rFonts w:hint="eastAsia"/>
        </w:rPr>
      </w:pPr>
      <w:r>
        <w:rPr>
          <w:rFonts w:eastAsia="Times New Roman"/>
        </w:rPr>
        <w:t>通过 Mapper 算法生成的语义骨架图将直观地展示德利洛晚期“极简主义”的数学本质。传统的极简主义被理解为“元素的减少”，但在拓扑图谱上，我们预期看到的是**“维度的升维”与“连通性的改变”**。</w:t>
      </w:r>
    </w:p>
    <w:p w14:paraId="72FD7379" w14:textId="77777777" w:rsidR="009B369A" w:rsidRDefault="009B369A" w:rsidP="004A1592">
      <w:pPr>
        <w:wordWrap w:val="0"/>
        <w:ind w:firstLineChars="200" w:firstLine="420"/>
        <w:rPr>
          <w:rFonts w:hint="eastAsia"/>
        </w:rPr>
      </w:pPr>
      <w:r>
        <w:rPr>
          <w:rFonts w:eastAsia="Times New Roman"/>
        </w:rPr>
        <w:t>骨架的稀疏化与环形化： 早期作品的骨架图可能像一个复杂的毛线球，充满了细小的分支和局部连接（反映了后现代的极繁主义和信息的过载）。而晚期作品的骨架图预期将变得极度简洁，但结构上呈现出巨大的、闭合的环路（Loops）。</w:t>
      </w:r>
    </w:p>
    <w:p w14:paraId="0043CBCB" w14:textId="77777777" w:rsidR="009B369A" w:rsidRDefault="009B369A" w:rsidP="004A1592">
      <w:pPr>
        <w:wordWrap w:val="0"/>
        <w:ind w:firstLineChars="200" w:firstLine="420"/>
        <w:rPr>
          <w:rFonts w:hint="eastAsia"/>
        </w:rPr>
      </w:pPr>
      <w:r>
        <w:rPr>
          <w:rFonts w:eastAsia="Times New Roman"/>
        </w:rPr>
        <w:t>文学含义： 这种结构表明，晚期德利洛的语言剔除了冗余的修饰，只保留了那些能够构建“本体论空洞”的关键骨架。极简不是为了“简单”，而是为了构建一个足够纯净的空间，让“虚无”得以显现。这种“少即是空”（Less is Void）的发现，将极简主义从一种修辞风格提升为一种形而上学的几何构造。</w:t>
      </w:r>
    </w:p>
    <w:p w14:paraId="43EDCE56" w14:textId="77777777" w:rsidR="009B369A" w:rsidRDefault="009B369A" w:rsidP="004A1592">
      <w:pPr>
        <w:pStyle w:val="21"/>
        <w:rPr>
          <w:rFonts w:hint="eastAsia"/>
        </w:rPr>
      </w:pPr>
      <w:r>
        <w:t>4.3 虚无的形状：否定神学的实证</w:t>
      </w:r>
    </w:p>
    <w:p w14:paraId="15119DCD" w14:textId="77777777" w:rsidR="009B369A" w:rsidRDefault="009B369A" w:rsidP="004A1592">
      <w:pPr>
        <w:wordWrap w:val="0"/>
        <w:ind w:firstLineChars="200" w:firstLine="420"/>
        <w:rPr>
          <w:rFonts w:hint="eastAsia"/>
        </w:rPr>
      </w:pPr>
      <w:r>
        <w:rPr>
          <w:rFonts w:eastAsia="Times New Roman"/>
        </w:rPr>
        <w:t xml:space="preserve">本研究最终将论证，德利洛晚期的“否定神学”不仅仅是一个文学隐喻，它在数学上对应于特定的贝蒂数特征序列（如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oMath>
      <w:r>
        <w:rPr>
          <w:rFonts w:eastAsia="Times New Roman"/>
        </w:rPr>
        <w:t xml:space="preserve"> 的持续高值与 </w:t>
      </w:r>
      <m:oMath>
        <m:sSub>
          <m:sSubPr>
            <m:ctrlPr>
              <w:rPr>
                <w:rFonts w:ascii="Cambria Math" w:hAnsi="Cambria Math"/>
              </w:rPr>
            </m:ctrlPr>
          </m:sSubPr>
          <m:e>
            <m:r>
              <w:rPr>
                <w:rFonts w:ascii="Cambria Math" w:hAnsi="Cambria Math"/>
              </w:rPr>
              <m:t>β</m:t>
            </m:r>
          </m:e>
          <m:sub>
            <m:r>
              <m:rPr>
                <m:sty m:val="p"/>
              </m:rPr>
              <w:rPr>
                <w:rFonts w:ascii="Cambria Math" w:hAnsi="Cambria Math"/>
              </w:rPr>
              <m:t>0</m:t>
            </m:r>
          </m:sub>
        </m:sSub>
      </m:oMath>
      <w:r>
        <w:rPr>
          <w:rFonts w:eastAsia="Times New Roman"/>
        </w:rPr>
        <w:t xml:space="preserve"> 的快速收敛）。</w:t>
      </w:r>
    </w:p>
    <w:p w14:paraId="5FDF7A31" w14:textId="77777777" w:rsidR="009B369A" w:rsidRDefault="009B369A" w:rsidP="004A1592">
      <w:pPr>
        <w:wordWrap w:val="0"/>
        <w:ind w:firstLineChars="200" w:firstLine="420"/>
        <w:rPr>
          <w:rFonts w:hint="eastAsia"/>
        </w:rPr>
      </w:pPr>
      <w:r>
        <w:rPr>
          <w:rFonts w:eastAsia="Times New Roman"/>
        </w:rPr>
        <w:t>虚无的可计算性： 我们通常认为“虚无”或“静默”是不可测量的。但 TDA 证明，虚无有其形状。如果《沉默》一书的语义空间呈现出一个完美的、高维的球面或环面，那么这个“形状”本身就是对书中“技术失效后的静默”的数学描述。</w:t>
      </w:r>
    </w:p>
    <w:p w14:paraId="1B5F96E6" w14:textId="77777777" w:rsidR="009B369A" w:rsidRDefault="009B369A" w:rsidP="004A1592">
      <w:pPr>
        <w:wordWrap w:val="0"/>
        <w:ind w:firstLineChars="200" w:firstLine="420"/>
        <w:rPr>
          <w:rFonts w:hint="eastAsia"/>
        </w:rPr>
      </w:pPr>
      <w:r>
        <w:rPr>
          <w:rFonts w:eastAsia="Times New Roman"/>
        </w:rPr>
        <w:t>后人类的祈祷： 这种拓扑结构揭示了后人类主体的处境——他们被困在语言的环路中，围绕着已经熄灭的屏幕进行着无终点的巡礼。这是一种没有超越性的超越，一种纯粹拓扑学意义上的神圣体验。</w:t>
      </w:r>
    </w:p>
    <w:p w14:paraId="3D2CBB04" w14:textId="77777777" w:rsidR="009B369A" w:rsidRDefault="009B369A" w:rsidP="004A1592">
      <w:pPr>
        <w:pStyle w:val="1"/>
        <w:rPr>
          <w:rFonts w:hint="eastAsia"/>
        </w:rPr>
      </w:pPr>
      <w:r>
        <w:t>结论与学术意义</w:t>
      </w:r>
    </w:p>
    <w:p w14:paraId="780F4A89" w14:textId="77777777" w:rsidR="009B369A" w:rsidRDefault="009B369A" w:rsidP="004A1592">
      <w:pPr>
        <w:wordWrap w:val="0"/>
        <w:ind w:firstLineChars="200" w:firstLine="420"/>
        <w:rPr>
          <w:rFonts w:hint="eastAsia"/>
        </w:rPr>
      </w:pPr>
      <w:r>
        <w:rPr>
          <w:rFonts w:eastAsia="Times New Roman"/>
        </w:rPr>
        <w:t>本研究通过创造性地引入无监督的拓扑数据分析，对唐·德利洛晚期作品中的“技术崇高”进行了前所未有的量化考察。不同于传统的验证性研究，本研究让文本的语义结构通过数学形式自然涌现，从而发现那些潜藏在词语表层之下的深层几何构造。</w:t>
      </w:r>
    </w:p>
    <w:p w14:paraId="1FC38ECF" w14:textId="77777777" w:rsidR="004A1592" w:rsidRDefault="009B369A" w:rsidP="004A1592">
      <w:pPr>
        <w:wordWrap w:val="0"/>
        <w:ind w:firstLineChars="200" w:firstLine="420"/>
        <w:rPr>
          <w:rFonts w:eastAsiaTheme="minorEastAsia"/>
        </w:rPr>
      </w:pPr>
      <w:r>
        <w:rPr>
          <w:rFonts w:eastAsia="Times New Roman"/>
        </w:rPr>
        <w:t>本研究的学术贡献主要体现在三个维度：</w:t>
      </w:r>
    </w:p>
    <w:p w14:paraId="2B3FC128" w14:textId="77777777" w:rsidR="004A1592" w:rsidRDefault="009B369A" w:rsidP="004A1592">
      <w:pPr>
        <w:wordWrap w:val="0"/>
        <w:ind w:firstLineChars="200" w:firstLine="420"/>
        <w:rPr>
          <w:rFonts w:eastAsiaTheme="minorEastAsia"/>
        </w:rPr>
      </w:pPr>
      <w:r>
        <w:rPr>
          <w:rFonts w:eastAsia="Times New Roman"/>
        </w:rPr>
        <w:t>首先，在方法论上，它实现了一次从“有监督验证”到“无监督发现”的范式跃迁，证明了同调生成元和 Mapper 算法能够作为文学批评的“显微镜”，自动识别出文本中隐含的主题结构；</w:t>
      </w:r>
    </w:p>
    <w:p w14:paraId="34BE6D9A" w14:textId="77777777" w:rsidR="004A1592" w:rsidRDefault="009B369A" w:rsidP="004A1592">
      <w:pPr>
        <w:wordWrap w:val="0"/>
        <w:ind w:firstLineChars="200" w:firstLine="420"/>
        <w:rPr>
          <w:rFonts w:eastAsiaTheme="minorEastAsia"/>
        </w:rPr>
      </w:pPr>
      <w:r>
        <w:rPr>
          <w:rFonts w:eastAsia="Times New Roman"/>
        </w:rPr>
        <w:t>其次，在文学批评上，它为德利洛研究中的核心争论——技术的宗教性转向——提供了确凿的、非预设的几何学证据，证明了“技术”与“神学”在语义流形上的拓扑纠缠是晚期风格的本质特征；</w:t>
      </w:r>
    </w:p>
    <w:p w14:paraId="7DAB71E9" w14:textId="5AF8DF56" w:rsidR="004A1592" w:rsidRDefault="009B369A" w:rsidP="004A1592">
      <w:pPr>
        <w:wordWrap w:val="0"/>
        <w:ind w:firstLineChars="200" w:firstLine="420"/>
        <w:rPr>
          <w:rFonts w:eastAsia="Times New Roman"/>
        </w:rPr>
      </w:pPr>
      <w:r>
        <w:rPr>
          <w:rFonts w:eastAsia="Times New Roman"/>
        </w:rPr>
        <w:t>最后，它暗示了在后人类语境下，我们对文学风格的理解可以超越语言学的范畴，进入拓扑学的领域——风格不仅是词汇的选择，更是语义空间的造形（Shaping）。这种重构正如拓扑学中的孔洞，虽然不可见，却定义了整个空间的性质，决定了我们如何在技术中存在。</w:t>
      </w:r>
    </w:p>
    <w:p w14:paraId="189CDD62" w14:textId="77777777" w:rsidR="004A1592" w:rsidRDefault="004A1592">
      <w:pPr>
        <w:widowControl/>
        <w:spacing w:after="160" w:line="278" w:lineRule="auto"/>
        <w:jc w:val="left"/>
        <w:rPr>
          <w:rFonts w:eastAsia="Times New Roman"/>
        </w:rPr>
      </w:pPr>
      <w:r>
        <w:rPr>
          <w:rFonts w:eastAsia="Times New Roman"/>
        </w:rPr>
        <w:br w:type="page"/>
      </w:r>
    </w:p>
    <w:p w14:paraId="1D29784D" w14:textId="77777777" w:rsidR="009B369A" w:rsidRDefault="009B369A" w:rsidP="004A1592">
      <w:pPr>
        <w:wordWrap w:val="0"/>
        <w:ind w:firstLineChars="200" w:firstLine="420"/>
        <w:rPr>
          <w:rFonts w:hint="eastAsia"/>
        </w:rPr>
      </w:pPr>
    </w:p>
    <w:p w14:paraId="353DF97F" w14:textId="77777777" w:rsidR="009B369A" w:rsidRDefault="009B369A" w:rsidP="004A1592">
      <w:pPr>
        <w:pStyle w:val="1"/>
        <w:kinsoku/>
        <w:wordWrap w:val="0"/>
        <w:rPr>
          <w:rFonts w:hint="eastAsia"/>
        </w:rPr>
      </w:pPr>
      <w:r>
        <w:t>参考文献</w:t>
      </w:r>
    </w:p>
    <w:p w14:paraId="25994EBC" w14:textId="77777777" w:rsidR="009B369A" w:rsidRDefault="009B369A" w:rsidP="004A1592">
      <w:pPr>
        <w:wordWrap w:val="0"/>
        <w:ind w:firstLineChars="200" w:firstLine="420"/>
        <w:rPr>
          <w:rFonts w:hint="eastAsia"/>
        </w:rPr>
      </w:pPr>
      <w:r>
        <w:t>Boxall, P. (2006). Don DeLillo: The possibility of fiction. Routledge.</w:t>
      </w:r>
    </w:p>
    <w:p w14:paraId="056E54B9" w14:textId="77777777" w:rsidR="009B369A" w:rsidRDefault="009B369A" w:rsidP="004A1592">
      <w:pPr>
        <w:wordWrap w:val="0"/>
        <w:ind w:firstLineChars="200" w:firstLine="420"/>
        <w:rPr>
          <w:rFonts w:hint="eastAsia"/>
        </w:rPr>
      </w:pPr>
      <w:r>
        <w:t>Carlsson, G. (2009). Topology and data. Bulletin of the American Mathematical Society, 46(2), 255-308.</w:t>
      </w:r>
    </w:p>
    <w:p w14:paraId="74B4E930" w14:textId="77777777" w:rsidR="009B369A" w:rsidRDefault="009B369A" w:rsidP="004A1592">
      <w:pPr>
        <w:wordWrap w:val="0"/>
        <w:ind w:firstLineChars="200" w:firstLine="420"/>
        <w:rPr>
          <w:rFonts w:hint="eastAsia"/>
        </w:rPr>
      </w:pPr>
      <w:r>
        <w:t>Cowart, D. (2002). Don DeLillo: The physics of language. University of Georgia Press.</w:t>
      </w:r>
    </w:p>
    <w:p w14:paraId="5B62C82D" w14:textId="77777777" w:rsidR="009B369A" w:rsidRDefault="009B369A" w:rsidP="004A1592">
      <w:pPr>
        <w:wordWrap w:val="0"/>
        <w:ind w:firstLineChars="200" w:firstLine="420"/>
        <w:rPr>
          <w:rFonts w:hint="eastAsia"/>
        </w:rPr>
      </w:pPr>
      <w:r>
        <w:t>DeLillo, D. (1985). White Noise. Viking Press.</w:t>
      </w:r>
    </w:p>
    <w:p w14:paraId="77A65C5B" w14:textId="77777777" w:rsidR="009B369A" w:rsidRDefault="009B369A" w:rsidP="004A1592">
      <w:pPr>
        <w:wordWrap w:val="0"/>
        <w:ind w:firstLineChars="200" w:firstLine="420"/>
        <w:rPr>
          <w:rFonts w:hint="eastAsia"/>
        </w:rPr>
      </w:pPr>
      <w:r>
        <w:t>DeLillo, D. (1997). Underworld. Scribner.</w:t>
      </w:r>
    </w:p>
    <w:p w14:paraId="4432127C" w14:textId="77777777" w:rsidR="009B369A" w:rsidRDefault="009B369A" w:rsidP="004A1592">
      <w:pPr>
        <w:wordWrap w:val="0"/>
        <w:ind w:firstLineChars="200" w:firstLine="420"/>
        <w:rPr>
          <w:rFonts w:hint="eastAsia"/>
        </w:rPr>
      </w:pPr>
      <w:r>
        <w:t>DeLillo, D. (2010). Point Omega. Scribner.</w:t>
      </w:r>
    </w:p>
    <w:p w14:paraId="4FFBE99A" w14:textId="77777777" w:rsidR="009B369A" w:rsidRDefault="009B369A" w:rsidP="004A1592">
      <w:pPr>
        <w:wordWrap w:val="0"/>
        <w:ind w:firstLineChars="200" w:firstLine="420"/>
        <w:rPr>
          <w:rFonts w:hint="eastAsia"/>
        </w:rPr>
      </w:pPr>
      <w:r>
        <w:t>DeLillo, D. (2016). Zero K. Scribner.</w:t>
      </w:r>
    </w:p>
    <w:p w14:paraId="0E3D8886" w14:textId="77777777" w:rsidR="009B369A" w:rsidRDefault="009B369A" w:rsidP="004A1592">
      <w:pPr>
        <w:wordWrap w:val="0"/>
        <w:ind w:firstLineChars="200" w:firstLine="420"/>
        <w:rPr>
          <w:rFonts w:hint="eastAsia"/>
        </w:rPr>
      </w:pPr>
      <w:r>
        <w:t>DeLillo, D. (2020). The Silence. Scribner.</w:t>
      </w:r>
    </w:p>
    <w:p w14:paraId="69AB2C68" w14:textId="77777777" w:rsidR="009B369A" w:rsidRDefault="009B369A" w:rsidP="004A1592">
      <w:pPr>
        <w:wordWrap w:val="0"/>
        <w:ind w:firstLineChars="200" w:firstLine="420"/>
        <w:rPr>
          <w:rFonts w:hint="eastAsia"/>
        </w:rPr>
      </w:pPr>
      <w:r>
        <w:t>Devlin, J., Chang, M. W., Lee, K., &amp; Toutanova, K. (2019). BERT: Pre-training of deep bidirectional transformers for language understanding. Proceedings of NAACL-HLT, 4171-4186.</w:t>
      </w:r>
    </w:p>
    <w:p w14:paraId="66D386AB" w14:textId="77777777" w:rsidR="009B369A" w:rsidRDefault="009B369A" w:rsidP="004A1592">
      <w:pPr>
        <w:wordWrap w:val="0"/>
        <w:ind w:firstLineChars="200" w:firstLine="420"/>
        <w:rPr>
          <w:rFonts w:hint="eastAsia"/>
        </w:rPr>
      </w:pPr>
      <w:r>
        <w:t>Edelsbrunner, H., &amp; Harer, J. (2010). Computational topology: An introduction. American Mathematical Society.</w:t>
      </w:r>
    </w:p>
    <w:p w14:paraId="5BE235BF" w14:textId="77777777" w:rsidR="009B369A" w:rsidRDefault="009B369A" w:rsidP="004A1592">
      <w:pPr>
        <w:wordWrap w:val="0"/>
        <w:ind w:firstLineChars="200" w:firstLine="420"/>
        <w:rPr>
          <w:rFonts w:hint="eastAsia"/>
        </w:rPr>
      </w:pPr>
      <w:r>
        <w:rPr>
          <w:rFonts w:eastAsia="Times New Roman"/>
        </w:rPr>
        <w:t>Elmore, M. (2022). The technological sublime in Don DeLillo’s late fiction. Contemporary Literature, 62(4), 485-512.</w:t>
      </w:r>
    </w:p>
    <w:p w14:paraId="1034C23F" w14:textId="77777777" w:rsidR="009B369A" w:rsidRDefault="009B369A" w:rsidP="004A1592">
      <w:pPr>
        <w:wordWrap w:val="0"/>
        <w:ind w:firstLineChars="200" w:firstLine="420"/>
        <w:rPr>
          <w:rFonts w:hint="eastAsia"/>
        </w:rPr>
      </w:pPr>
      <w:r>
        <w:t>Gavin, M. (2018). Vector space models of literary value. Archives of Literary History, 1(1).</w:t>
      </w:r>
    </w:p>
    <w:p w14:paraId="530CA6E7" w14:textId="77777777" w:rsidR="009B369A" w:rsidRDefault="009B369A" w:rsidP="004A1592">
      <w:pPr>
        <w:wordWrap w:val="0"/>
        <w:ind w:firstLineChars="200" w:firstLine="420"/>
        <w:rPr>
          <w:rFonts w:hint="eastAsia"/>
        </w:rPr>
      </w:pPr>
      <w:r>
        <w:t>Ghrist, R. (2008). Barcodes: The persistent topology of data. Bulletin of the American Mathematical Society, 45(1), 61-75.</w:t>
      </w:r>
    </w:p>
    <w:p w14:paraId="276BD8B7" w14:textId="77777777" w:rsidR="009B369A" w:rsidRDefault="009B369A" w:rsidP="004A1592">
      <w:pPr>
        <w:wordWrap w:val="0"/>
        <w:ind w:firstLineChars="200" w:firstLine="420"/>
        <w:rPr>
          <w:rFonts w:hint="eastAsia"/>
        </w:rPr>
      </w:pPr>
      <w:r>
        <w:t>Gholizadeh, S., Seyeditabari, A., &amp; Zadrozny, W. (2020). Topological data analysis in text classification: Extracting features with additive information. arXiv preprint arXiv:2008.09340.</w:t>
      </w:r>
    </w:p>
    <w:p w14:paraId="6F65B46D" w14:textId="77777777" w:rsidR="009B369A" w:rsidRDefault="009B369A" w:rsidP="004A1592">
      <w:pPr>
        <w:wordWrap w:val="0"/>
        <w:ind w:firstLineChars="200" w:firstLine="420"/>
        <w:rPr>
          <w:rFonts w:hint="eastAsia"/>
        </w:rPr>
      </w:pPr>
      <w:r>
        <w:t>Nye, D. E. (1994). American technological sublime. MIT Press.</w:t>
      </w:r>
    </w:p>
    <w:p w14:paraId="2BC7B289" w14:textId="77777777" w:rsidR="009B369A" w:rsidRDefault="009B369A" w:rsidP="004A1592">
      <w:pPr>
        <w:wordWrap w:val="0"/>
        <w:ind w:firstLineChars="200" w:firstLine="420"/>
        <w:rPr>
          <w:rFonts w:hint="eastAsia"/>
        </w:rPr>
      </w:pPr>
      <w:r>
        <w:rPr>
          <w:rFonts w:eastAsia="Times New Roman"/>
        </w:rPr>
        <w:t>Singh, G., Mémoli, F., &amp; Carlsson, G. E. (2007). Topological methods for the analysis of high dimensional data sets and 3d object recognition. SPBG, 91-100.</w:t>
      </w:r>
    </w:p>
    <w:p w14:paraId="2718EBD7" w14:textId="77777777" w:rsidR="009B369A" w:rsidRDefault="009B369A" w:rsidP="004A1592">
      <w:pPr>
        <w:wordWrap w:val="0"/>
        <w:ind w:firstLineChars="200" w:firstLine="420"/>
        <w:rPr>
          <w:rFonts w:hint="eastAsia"/>
        </w:rPr>
      </w:pPr>
      <w:r>
        <w:t>Tabbi, J. (1995). The postmodern sublime: Technology and American writing from Mailer to Cyberpunk. Cornell University Press.</w:t>
      </w:r>
    </w:p>
    <w:p w14:paraId="021C682F" w14:textId="77777777" w:rsidR="009B369A" w:rsidRDefault="009B369A" w:rsidP="004A1592">
      <w:pPr>
        <w:wordWrap w:val="0"/>
        <w:ind w:firstLineChars="200" w:firstLine="420"/>
        <w:rPr>
          <w:rFonts w:hint="eastAsia"/>
        </w:rPr>
      </w:pPr>
      <w:r>
        <w:t>Terosky, N. (2021). The apophatic techno-sublime in DeLillo. Journal of Modern Literature, 44(2), 120-138.</w:t>
      </w:r>
    </w:p>
    <w:p w14:paraId="16D574B8" w14:textId="77777777" w:rsidR="009B369A" w:rsidRDefault="009B369A" w:rsidP="004A1592">
      <w:pPr>
        <w:wordWrap w:val="0"/>
        <w:ind w:firstLineChars="200" w:firstLine="420"/>
        <w:rPr>
          <w:rFonts w:hint="eastAsia"/>
        </w:rPr>
      </w:pPr>
      <w:r>
        <w:rPr>
          <w:rFonts w:eastAsia="Times New Roman"/>
        </w:rPr>
        <w:t>Wagner, H., Dłotko, P., &amp; Mrozek, M. (2012). Computational topology for digital humanities: A survey. VisMat.</w:t>
      </w:r>
      <w:bookmarkEnd w:id="1"/>
      <w:bookmarkEnd w:id="2"/>
      <w:bookmarkEnd w:id="3"/>
    </w:p>
    <w:sectPr w:rsidR="009B369A">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FCB05" w14:textId="77777777" w:rsidR="00797DAF" w:rsidRDefault="00797DAF" w:rsidP="00C4619D">
      <w:r>
        <w:separator/>
      </w:r>
    </w:p>
  </w:endnote>
  <w:endnote w:type="continuationSeparator" w:id="0">
    <w:p w14:paraId="4885488D" w14:textId="77777777" w:rsidR="00797DAF" w:rsidRDefault="00797DAF" w:rsidP="00C46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35750"/>
      <w:docPartObj>
        <w:docPartGallery w:val="Page Numbers (Bottom of Page)"/>
        <w:docPartUnique/>
      </w:docPartObj>
    </w:sdtPr>
    <w:sdtContent>
      <w:p w14:paraId="339DDB05" w14:textId="77777777" w:rsidR="00C4619D" w:rsidRDefault="00C4619D" w:rsidP="00C4619D">
        <w:pPr>
          <w:pStyle w:val="af0"/>
          <w:jc w:val="center"/>
          <w:rPr>
            <w:rFonts w:hint="eastAsia"/>
          </w:rPr>
        </w:pPr>
        <w:r w:rsidRPr="00C4619D">
          <w:rPr>
            <w:rFonts w:ascii="Times New Roman" w:hAnsi="Times New Roman" w:cs="Times New Roman"/>
          </w:rPr>
          <w:fldChar w:fldCharType="begin"/>
        </w:r>
        <w:r w:rsidRPr="00C4619D">
          <w:rPr>
            <w:rFonts w:ascii="Times New Roman" w:hAnsi="Times New Roman" w:cs="Times New Roman"/>
          </w:rPr>
          <w:instrText>PAGE   \* MERGEFORMAT</w:instrText>
        </w:r>
        <w:r w:rsidRPr="00C4619D">
          <w:rPr>
            <w:rFonts w:ascii="Times New Roman" w:hAnsi="Times New Roman" w:cs="Times New Roman"/>
          </w:rPr>
          <w:fldChar w:fldCharType="separate"/>
        </w:r>
        <w:r w:rsidRPr="00C4619D">
          <w:rPr>
            <w:rFonts w:ascii="Times New Roman" w:hAnsi="Times New Roman" w:cs="Times New Roman"/>
            <w:lang w:val="zh-CN"/>
          </w:rPr>
          <w:t>2</w:t>
        </w:r>
        <w:r w:rsidRPr="00C4619D">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68BA5" w14:textId="77777777" w:rsidR="00797DAF" w:rsidRDefault="00797DAF" w:rsidP="00C4619D">
      <w:r>
        <w:separator/>
      </w:r>
    </w:p>
  </w:footnote>
  <w:footnote w:type="continuationSeparator" w:id="0">
    <w:p w14:paraId="30A8E057" w14:textId="77777777" w:rsidR="00797DAF" w:rsidRDefault="00797DAF" w:rsidP="00C46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5AF1" w14:textId="2F4D0D83" w:rsidR="00C4619D" w:rsidRPr="0085176C" w:rsidRDefault="0085176C" w:rsidP="0085176C">
    <w:pPr>
      <w:pStyle w:val="ae"/>
      <w:pBdr>
        <w:bottom w:val="single" w:sz="4" w:space="1" w:color="auto"/>
      </w:pBdr>
    </w:pPr>
    <w:r w:rsidRPr="0085176C">
      <w:rPr>
        <w:rFonts w:ascii="Times New Roman" w:eastAsia="宋体" w:hAnsi="Times New Roman" w:cs="Times New Roman" w:hint="eastAsia"/>
      </w:rPr>
      <w:t>基于持续同调理论的唐·德利洛晚期技术神学观研究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7394B"/>
    <w:multiLevelType w:val="hybridMultilevel"/>
    <w:tmpl w:val="47727708"/>
    <w:lvl w:ilvl="0" w:tplc="DDBC0AC4">
      <w:start w:val="2"/>
      <w:numFmt w:val="decimal"/>
      <w:lvlText w:val="%1."/>
      <w:lvlJc w:val="left"/>
      <w:pPr>
        <w:tabs>
          <w:tab w:val="num" w:pos="1080"/>
        </w:tabs>
        <w:ind w:left="720" w:hanging="360"/>
      </w:pPr>
    </w:lvl>
    <w:lvl w:ilvl="1" w:tplc="3E106402">
      <w:numFmt w:val="decimal"/>
      <w:lvlText w:val=""/>
      <w:lvlJc w:val="left"/>
    </w:lvl>
    <w:lvl w:ilvl="2" w:tplc="07EEA240">
      <w:numFmt w:val="decimal"/>
      <w:lvlText w:val=""/>
      <w:lvlJc w:val="left"/>
    </w:lvl>
    <w:lvl w:ilvl="3" w:tplc="E10AD08A">
      <w:numFmt w:val="decimal"/>
      <w:lvlText w:val=""/>
      <w:lvlJc w:val="left"/>
    </w:lvl>
    <w:lvl w:ilvl="4" w:tplc="FABA42BE">
      <w:numFmt w:val="decimal"/>
      <w:lvlText w:val=""/>
      <w:lvlJc w:val="left"/>
    </w:lvl>
    <w:lvl w:ilvl="5" w:tplc="FA0AD3BC">
      <w:numFmt w:val="decimal"/>
      <w:lvlText w:val=""/>
      <w:lvlJc w:val="left"/>
    </w:lvl>
    <w:lvl w:ilvl="6" w:tplc="9128177E">
      <w:numFmt w:val="decimal"/>
      <w:lvlText w:val=""/>
      <w:lvlJc w:val="left"/>
    </w:lvl>
    <w:lvl w:ilvl="7" w:tplc="8866466E">
      <w:numFmt w:val="decimal"/>
      <w:lvlText w:val=""/>
      <w:lvlJc w:val="left"/>
    </w:lvl>
    <w:lvl w:ilvl="8" w:tplc="4E489E00">
      <w:numFmt w:val="decimal"/>
      <w:lvlText w:val=""/>
      <w:lvlJc w:val="left"/>
    </w:lvl>
  </w:abstractNum>
  <w:abstractNum w:abstractNumId="1" w15:restartNumberingAfterBreak="0">
    <w:nsid w:val="38C4702B"/>
    <w:multiLevelType w:val="hybridMultilevel"/>
    <w:tmpl w:val="D22EB6B0"/>
    <w:lvl w:ilvl="0" w:tplc="EBEC7350">
      <w:start w:val="6"/>
      <w:numFmt w:val="decimal"/>
      <w:lvlText w:val="%1."/>
      <w:lvlJc w:val="left"/>
      <w:pPr>
        <w:tabs>
          <w:tab w:val="num" w:pos="1080"/>
        </w:tabs>
        <w:ind w:left="720" w:hanging="360"/>
      </w:pPr>
    </w:lvl>
    <w:lvl w:ilvl="1" w:tplc="4AF60CAE">
      <w:numFmt w:val="decimal"/>
      <w:lvlText w:val=""/>
      <w:lvlJc w:val="left"/>
    </w:lvl>
    <w:lvl w:ilvl="2" w:tplc="E64A6872">
      <w:numFmt w:val="decimal"/>
      <w:lvlText w:val=""/>
      <w:lvlJc w:val="left"/>
    </w:lvl>
    <w:lvl w:ilvl="3" w:tplc="662E518E">
      <w:numFmt w:val="decimal"/>
      <w:lvlText w:val=""/>
      <w:lvlJc w:val="left"/>
    </w:lvl>
    <w:lvl w:ilvl="4" w:tplc="0C6E541E">
      <w:numFmt w:val="decimal"/>
      <w:lvlText w:val=""/>
      <w:lvlJc w:val="left"/>
    </w:lvl>
    <w:lvl w:ilvl="5" w:tplc="6FB4E2F0">
      <w:numFmt w:val="decimal"/>
      <w:lvlText w:val=""/>
      <w:lvlJc w:val="left"/>
    </w:lvl>
    <w:lvl w:ilvl="6" w:tplc="95D806C6">
      <w:numFmt w:val="decimal"/>
      <w:lvlText w:val=""/>
      <w:lvlJc w:val="left"/>
    </w:lvl>
    <w:lvl w:ilvl="7" w:tplc="422AB41A">
      <w:numFmt w:val="decimal"/>
      <w:lvlText w:val=""/>
      <w:lvlJc w:val="left"/>
    </w:lvl>
    <w:lvl w:ilvl="8" w:tplc="F292572A">
      <w:numFmt w:val="decimal"/>
      <w:lvlText w:val=""/>
      <w:lvlJc w:val="left"/>
    </w:lvl>
  </w:abstractNum>
  <w:abstractNum w:abstractNumId="2" w15:restartNumberingAfterBreak="0">
    <w:nsid w:val="3D05179B"/>
    <w:multiLevelType w:val="hybridMultilevel"/>
    <w:tmpl w:val="B18E3B14"/>
    <w:lvl w:ilvl="0" w:tplc="C7BAD590">
      <w:start w:val="3"/>
      <w:numFmt w:val="decimal"/>
      <w:lvlText w:val="%1."/>
      <w:lvlJc w:val="left"/>
      <w:pPr>
        <w:tabs>
          <w:tab w:val="num" w:pos="1080"/>
        </w:tabs>
        <w:ind w:left="720" w:hanging="360"/>
      </w:pPr>
    </w:lvl>
    <w:lvl w:ilvl="1" w:tplc="81FC1F68">
      <w:numFmt w:val="decimal"/>
      <w:lvlText w:val=""/>
      <w:lvlJc w:val="left"/>
    </w:lvl>
    <w:lvl w:ilvl="2" w:tplc="5978D2AE">
      <w:numFmt w:val="decimal"/>
      <w:lvlText w:val=""/>
      <w:lvlJc w:val="left"/>
    </w:lvl>
    <w:lvl w:ilvl="3" w:tplc="15D280FC">
      <w:numFmt w:val="decimal"/>
      <w:lvlText w:val=""/>
      <w:lvlJc w:val="left"/>
    </w:lvl>
    <w:lvl w:ilvl="4" w:tplc="E2C665E0">
      <w:numFmt w:val="decimal"/>
      <w:lvlText w:val=""/>
      <w:lvlJc w:val="left"/>
    </w:lvl>
    <w:lvl w:ilvl="5" w:tplc="A790D6CA">
      <w:numFmt w:val="decimal"/>
      <w:lvlText w:val=""/>
      <w:lvlJc w:val="left"/>
    </w:lvl>
    <w:lvl w:ilvl="6" w:tplc="7A94001E">
      <w:numFmt w:val="decimal"/>
      <w:lvlText w:val=""/>
      <w:lvlJc w:val="left"/>
    </w:lvl>
    <w:lvl w:ilvl="7" w:tplc="EAAED512">
      <w:numFmt w:val="decimal"/>
      <w:lvlText w:val=""/>
      <w:lvlJc w:val="left"/>
    </w:lvl>
    <w:lvl w:ilvl="8" w:tplc="9C1C7ABE">
      <w:numFmt w:val="decimal"/>
      <w:lvlText w:val=""/>
      <w:lvlJc w:val="left"/>
    </w:lvl>
  </w:abstractNum>
  <w:abstractNum w:abstractNumId="3" w15:restartNumberingAfterBreak="0">
    <w:nsid w:val="3FAD013E"/>
    <w:multiLevelType w:val="hybridMultilevel"/>
    <w:tmpl w:val="05B2DCB0"/>
    <w:lvl w:ilvl="0" w:tplc="D034EE46">
      <w:start w:val="1"/>
      <w:numFmt w:val="decimal"/>
      <w:lvlText w:val="%1."/>
      <w:lvlJc w:val="left"/>
      <w:pPr>
        <w:tabs>
          <w:tab w:val="num" w:pos="1080"/>
        </w:tabs>
        <w:ind w:left="720" w:hanging="360"/>
      </w:pPr>
    </w:lvl>
    <w:lvl w:ilvl="1" w:tplc="8B0AAA82">
      <w:numFmt w:val="decimal"/>
      <w:lvlText w:val=""/>
      <w:lvlJc w:val="left"/>
    </w:lvl>
    <w:lvl w:ilvl="2" w:tplc="BB8C9B60">
      <w:numFmt w:val="decimal"/>
      <w:lvlText w:val=""/>
      <w:lvlJc w:val="left"/>
    </w:lvl>
    <w:lvl w:ilvl="3" w:tplc="5060CCBE">
      <w:numFmt w:val="decimal"/>
      <w:lvlText w:val=""/>
      <w:lvlJc w:val="left"/>
    </w:lvl>
    <w:lvl w:ilvl="4" w:tplc="4E241C10">
      <w:numFmt w:val="decimal"/>
      <w:lvlText w:val=""/>
      <w:lvlJc w:val="left"/>
    </w:lvl>
    <w:lvl w:ilvl="5" w:tplc="07B875A4">
      <w:numFmt w:val="decimal"/>
      <w:lvlText w:val=""/>
      <w:lvlJc w:val="left"/>
    </w:lvl>
    <w:lvl w:ilvl="6" w:tplc="730AA21A">
      <w:numFmt w:val="decimal"/>
      <w:lvlText w:val=""/>
      <w:lvlJc w:val="left"/>
    </w:lvl>
    <w:lvl w:ilvl="7" w:tplc="3B020DCE">
      <w:numFmt w:val="decimal"/>
      <w:lvlText w:val=""/>
      <w:lvlJc w:val="left"/>
    </w:lvl>
    <w:lvl w:ilvl="8" w:tplc="F6E8C3EE">
      <w:numFmt w:val="decimal"/>
      <w:lvlText w:val=""/>
      <w:lvlJc w:val="left"/>
    </w:lvl>
  </w:abstractNum>
  <w:abstractNum w:abstractNumId="4" w15:restartNumberingAfterBreak="0">
    <w:nsid w:val="620071A7"/>
    <w:multiLevelType w:val="hybridMultilevel"/>
    <w:tmpl w:val="A9A6AFBA"/>
    <w:lvl w:ilvl="0" w:tplc="1060A586">
      <w:start w:val="4"/>
      <w:numFmt w:val="decimal"/>
      <w:lvlText w:val="%1."/>
      <w:lvlJc w:val="left"/>
      <w:pPr>
        <w:tabs>
          <w:tab w:val="num" w:pos="1080"/>
        </w:tabs>
        <w:ind w:left="720" w:hanging="360"/>
      </w:pPr>
    </w:lvl>
    <w:lvl w:ilvl="1" w:tplc="AFEC632C">
      <w:numFmt w:val="decimal"/>
      <w:lvlText w:val=""/>
      <w:lvlJc w:val="left"/>
    </w:lvl>
    <w:lvl w:ilvl="2" w:tplc="EA3A2F68">
      <w:numFmt w:val="decimal"/>
      <w:lvlText w:val=""/>
      <w:lvlJc w:val="left"/>
    </w:lvl>
    <w:lvl w:ilvl="3" w:tplc="F4109B1C">
      <w:numFmt w:val="decimal"/>
      <w:lvlText w:val=""/>
      <w:lvlJc w:val="left"/>
    </w:lvl>
    <w:lvl w:ilvl="4" w:tplc="E8362326">
      <w:numFmt w:val="decimal"/>
      <w:lvlText w:val=""/>
      <w:lvlJc w:val="left"/>
    </w:lvl>
    <w:lvl w:ilvl="5" w:tplc="DC04155A">
      <w:numFmt w:val="decimal"/>
      <w:lvlText w:val=""/>
      <w:lvlJc w:val="left"/>
    </w:lvl>
    <w:lvl w:ilvl="6" w:tplc="6F381636">
      <w:numFmt w:val="decimal"/>
      <w:lvlText w:val=""/>
      <w:lvlJc w:val="left"/>
    </w:lvl>
    <w:lvl w:ilvl="7" w:tplc="6E681F02">
      <w:numFmt w:val="decimal"/>
      <w:lvlText w:val=""/>
      <w:lvlJc w:val="left"/>
    </w:lvl>
    <w:lvl w:ilvl="8" w:tplc="06F08DD6">
      <w:numFmt w:val="decimal"/>
      <w:lvlText w:val=""/>
      <w:lvlJc w:val="left"/>
    </w:lvl>
  </w:abstractNum>
  <w:abstractNum w:abstractNumId="5" w15:restartNumberingAfterBreak="0">
    <w:nsid w:val="62EB0F7F"/>
    <w:multiLevelType w:val="hybridMultilevel"/>
    <w:tmpl w:val="6044AF06"/>
    <w:lvl w:ilvl="0" w:tplc="F8BAA532">
      <w:start w:val="5"/>
      <w:numFmt w:val="decimal"/>
      <w:lvlText w:val="%1."/>
      <w:lvlJc w:val="left"/>
      <w:pPr>
        <w:tabs>
          <w:tab w:val="num" w:pos="1080"/>
        </w:tabs>
        <w:ind w:left="720" w:hanging="360"/>
      </w:pPr>
    </w:lvl>
    <w:lvl w:ilvl="1" w:tplc="0C3A6362">
      <w:numFmt w:val="decimal"/>
      <w:lvlText w:val=""/>
      <w:lvlJc w:val="left"/>
    </w:lvl>
    <w:lvl w:ilvl="2" w:tplc="291C5FB6">
      <w:numFmt w:val="decimal"/>
      <w:lvlText w:val=""/>
      <w:lvlJc w:val="left"/>
    </w:lvl>
    <w:lvl w:ilvl="3" w:tplc="35FC59DC">
      <w:numFmt w:val="decimal"/>
      <w:lvlText w:val=""/>
      <w:lvlJc w:val="left"/>
    </w:lvl>
    <w:lvl w:ilvl="4" w:tplc="DDD011C8">
      <w:numFmt w:val="decimal"/>
      <w:lvlText w:val=""/>
      <w:lvlJc w:val="left"/>
    </w:lvl>
    <w:lvl w:ilvl="5" w:tplc="956A7556">
      <w:numFmt w:val="decimal"/>
      <w:lvlText w:val=""/>
      <w:lvlJc w:val="left"/>
    </w:lvl>
    <w:lvl w:ilvl="6" w:tplc="0792CC10">
      <w:numFmt w:val="decimal"/>
      <w:lvlText w:val=""/>
      <w:lvlJc w:val="left"/>
    </w:lvl>
    <w:lvl w:ilvl="7" w:tplc="1A0CC808">
      <w:numFmt w:val="decimal"/>
      <w:lvlText w:val=""/>
      <w:lvlJc w:val="left"/>
    </w:lvl>
    <w:lvl w:ilvl="8" w:tplc="5E28A9AE">
      <w:numFmt w:val="decimal"/>
      <w:lvlText w:val=""/>
      <w:lvlJc w:val="left"/>
    </w:lvl>
  </w:abstractNum>
  <w:num w:numId="1" w16cid:durableId="373121805">
    <w:abstractNumId w:val="3"/>
  </w:num>
  <w:num w:numId="2" w16cid:durableId="1649094842">
    <w:abstractNumId w:val="0"/>
  </w:num>
  <w:num w:numId="3" w16cid:durableId="930822896">
    <w:abstractNumId w:val="2"/>
  </w:num>
  <w:num w:numId="4" w16cid:durableId="1981032958">
    <w:abstractNumId w:val="4"/>
  </w:num>
  <w:num w:numId="5" w16cid:durableId="1118455191">
    <w:abstractNumId w:val="5"/>
  </w:num>
  <w:num w:numId="6" w16cid:durableId="213081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121"/>
    <w:rsid w:val="00017DCD"/>
    <w:rsid w:val="00036121"/>
    <w:rsid w:val="00170F76"/>
    <w:rsid w:val="00286A1A"/>
    <w:rsid w:val="003A4194"/>
    <w:rsid w:val="0042156C"/>
    <w:rsid w:val="004A1592"/>
    <w:rsid w:val="004F7E63"/>
    <w:rsid w:val="00567820"/>
    <w:rsid w:val="0074207A"/>
    <w:rsid w:val="00797DAF"/>
    <w:rsid w:val="00827BCE"/>
    <w:rsid w:val="008423B6"/>
    <w:rsid w:val="0085176C"/>
    <w:rsid w:val="008A1EAA"/>
    <w:rsid w:val="00912373"/>
    <w:rsid w:val="009823B6"/>
    <w:rsid w:val="009B369A"/>
    <w:rsid w:val="00A04578"/>
    <w:rsid w:val="00AF61B6"/>
    <w:rsid w:val="00B56E2E"/>
    <w:rsid w:val="00C0134F"/>
    <w:rsid w:val="00C3143C"/>
    <w:rsid w:val="00C4619D"/>
    <w:rsid w:val="00D20944"/>
    <w:rsid w:val="00E4258C"/>
    <w:rsid w:val="00E87D3C"/>
    <w:rsid w:val="00F07BA5"/>
    <w:rsid w:val="00FD4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83AD2"/>
  <w14:defaultImageDpi w14:val="32767"/>
  <w15:chartTrackingRefBased/>
  <w15:docId w15:val="{BCE647BD-93B4-4085-A11A-416F29EDA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0"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4580"/>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0"/>
    <w:next w:val="a0"/>
    <w:link w:val="10"/>
    <w:qFormat/>
    <w:rsid w:val="0074207A"/>
    <w:pPr>
      <w:widowControl/>
      <w:kinsoku w:val="0"/>
      <w:autoSpaceDE w:val="0"/>
      <w:autoSpaceDN w:val="0"/>
      <w:adjustRightInd w:val="0"/>
      <w:snapToGrid w:val="0"/>
      <w:contextualSpacing w:val="0"/>
      <w:textAlignment w:val="baseline"/>
      <w:outlineLvl w:val="0"/>
    </w:pPr>
    <w:rPr>
      <w:b/>
      <w:snapToGrid w:val="0"/>
      <w:color w:val="000000"/>
      <w:spacing w:val="-9"/>
      <w:kern w:val="2"/>
      <w:sz w:val="28"/>
      <w:szCs w:val="32"/>
    </w:rPr>
  </w:style>
  <w:style w:type="paragraph" w:styleId="2">
    <w:name w:val="heading 2"/>
    <w:basedOn w:val="a"/>
    <w:next w:val="a"/>
    <w:link w:val="20"/>
    <w:uiPriority w:val="9"/>
    <w:semiHidden/>
    <w:unhideWhenUsed/>
    <w:rsid w:val="00C4619D"/>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C4619D"/>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C4619D"/>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aliases w:val="段落"/>
    <w:basedOn w:val="a"/>
    <w:next w:val="a"/>
    <w:link w:val="50"/>
    <w:autoRedefine/>
    <w:unhideWhenUsed/>
    <w:rsid w:val="00F07BA5"/>
    <w:pPr>
      <w:keepNext/>
      <w:keepLines/>
      <w:widowControl/>
      <w:kinsoku w:val="0"/>
      <w:autoSpaceDE w:val="0"/>
      <w:autoSpaceDN w:val="0"/>
      <w:adjustRightInd w:val="0"/>
      <w:snapToGrid w:val="0"/>
      <w:spacing w:line="400" w:lineRule="exact"/>
      <w:ind w:firstLineChars="200" w:firstLine="200"/>
      <w:textAlignment w:val="baseline"/>
      <w:outlineLvl w:val="4"/>
    </w:pPr>
    <w:rPr>
      <w:rFonts w:cstheme="minorBidi"/>
      <w:bCs/>
      <w:snapToGrid w:val="0"/>
      <w:color w:val="000000"/>
      <w:sz w:val="24"/>
      <w:szCs w:val="28"/>
      <w:lang w:eastAsia="en-US"/>
      <w14:ligatures w14:val="standardContextual"/>
    </w:rPr>
  </w:style>
  <w:style w:type="paragraph" w:styleId="6">
    <w:name w:val="heading 6"/>
    <w:basedOn w:val="a"/>
    <w:next w:val="a"/>
    <w:link w:val="60"/>
    <w:uiPriority w:val="9"/>
    <w:semiHidden/>
    <w:unhideWhenUsed/>
    <w:rsid w:val="00C4619D"/>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C4619D"/>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C4619D"/>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C4619D"/>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rsid w:val="0074207A"/>
    <w:rPr>
      <w:rFonts w:asciiTheme="majorHAnsi" w:eastAsia="黑体" w:hAnsiTheme="majorHAnsi" w:cstheme="majorBidi"/>
      <w:b/>
      <w:snapToGrid w:val="0"/>
      <w:color w:val="000000"/>
      <w:spacing w:val="-9"/>
      <w:sz w:val="28"/>
      <w:szCs w:val="32"/>
    </w:rPr>
  </w:style>
  <w:style w:type="paragraph" w:styleId="a0">
    <w:name w:val="Title"/>
    <w:basedOn w:val="a"/>
    <w:next w:val="a"/>
    <w:link w:val="a4"/>
    <w:uiPriority w:val="10"/>
    <w:qFormat/>
    <w:rsid w:val="00D20944"/>
    <w:pPr>
      <w:contextualSpacing/>
      <w:jc w:val="center"/>
    </w:pPr>
    <w:rPr>
      <w:rFonts w:asciiTheme="majorHAnsi" w:eastAsia="黑体" w:hAnsiTheme="majorHAnsi" w:cstheme="majorBidi"/>
      <w:spacing w:val="-10"/>
      <w:kern w:val="28"/>
      <w:sz w:val="32"/>
      <w:szCs w:val="56"/>
      <w14:ligatures w14:val="standardContextual"/>
    </w:rPr>
  </w:style>
  <w:style w:type="character" w:customStyle="1" w:styleId="a4">
    <w:name w:val="标题 字符"/>
    <w:basedOn w:val="a1"/>
    <w:link w:val="a0"/>
    <w:uiPriority w:val="10"/>
    <w:rsid w:val="00D20944"/>
    <w:rPr>
      <w:rFonts w:asciiTheme="majorHAnsi" w:eastAsia="黑体" w:hAnsiTheme="majorHAnsi" w:cstheme="majorBidi"/>
      <w:spacing w:val="-10"/>
      <w:kern w:val="28"/>
      <w:sz w:val="32"/>
      <w:szCs w:val="56"/>
    </w:rPr>
  </w:style>
  <w:style w:type="character" w:customStyle="1" w:styleId="50">
    <w:name w:val="标题 5 字符"/>
    <w:aliases w:val="段落 字符"/>
    <w:basedOn w:val="a1"/>
    <w:link w:val="5"/>
    <w:rsid w:val="00F07BA5"/>
    <w:rPr>
      <w:rFonts w:ascii="Times New Roman" w:eastAsia="宋体" w:hAnsi="Times New Roman"/>
      <w:bCs/>
      <w:snapToGrid w:val="0"/>
      <w:color w:val="000000"/>
      <w:sz w:val="24"/>
      <w:szCs w:val="28"/>
      <w:lang w:eastAsia="en-US"/>
    </w:rPr>
  </w:style>
  <w:style w:type="character" w:customStyle="1" w:styleId="20">
    <w:name w:val="标题 2 字符"/>
    <w:basedOn w:val="a1"/>
    <w:link w:val="2"/>
    <w:uiPriority w:val="9"/>
    <w:semiHidden/>
    <w:rsid w:val="00C461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C461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C4619D"/>
    <w:rPr>
      <w:rFonts w:cstheme="majorBidi"/>
      <w:color w:val="0F4761" w:themeColor="accent1" w:themeShade="BF"/>
      <w:sz w:val="28"/>
      <w:szCs w:val="28"/>
    </w:rPr>
  </w:style>
  <w:style w:type="character" w:customStyle="1" w:styleId="60">
    <w:name w:val="标题 6 字符"/>
    <w:basedOn w:val="a1"/>
    <w:link w:val="6"/>
    <w:uiPriority w:val="9"/>
    <w:semiHidden/>
    <w:rsid w:val="00C4619D"/>
    <w:rPr>
      <w:rFonts w:cstheme="majorBidi"/>
      <w:b/>
      <w:bCs/>
      <w:color w:val="0F4761" w:themeColor="accent1" w:themeShade="BF"/>
    </w:rPr>
  </w:style>
  <w:style w:type="character" w:customStyle="1" w:styleId="70">
    <w:name w:val="标题 7 字符"/>
    <w:basedOn w:val="a1"/>
    <w:link w:val="7"/>
    <w:uiPriority w:val="9"/>
    <w:semiHidden/>
    <w:rsid w:val="00C4619D"/>
    <w:rPr>
      <w:rFonts w:cstheme="majorBidi"/>
      <w:b/>
      <w:bCs/>
      <w:color w:val="595959" w:themeColor="text1" w:themeTint="A6"/>
    </w:rPr>
  </w:style>
  <w:style w:type="character" w:customStyle="1" w:styleId="80">
    <w:name w:val="标题 8 字符"/>
    <w:basedOn w:val="a1"/>
    <w:link w:val="8"/>
    <w:uiPriority w:val="9"/>
    <w:semiHidden/>
    <w:rsid w:val="00C4619D"/>
    <w:rPr>
      <w:rFonts w:cstheme="majorBidi"/>
      <w:color w:val="595959" w:themeColor="text1" w:themeTint="A6"/>
    </w:rPr>
  </w:style>
  <w:style w:type="character" w:customStyle="1" w:styleId="90">
    <w:name w:val="标题 9 字符"/>
    <w:basedOn w:val="a1"/>
    <w:link w:val="9"/>
    <w:uiPriority w:val="9"/>
    <w:semiHidden/>
    <w:rsid w:val="00C4619D"/>
    <w:rPr>
      <w:rFonts w:eastAsiaTheme="majorEastAsia" w:cstheme="majorBidi"/>
      <w:color w:val="595959" w:themeColor="text1" w:themeTint="A6"/>
    </w:rPr>
  </w:style>
  <w:style w:type="paragraph" w:styleId="a5">
    <w:name w:val="Subtitle"/>
    <w:basedOn w:val="a"/>
    <w:next w:val="a"/>
    <w:link w:val="a6"/>
    <w:uiPriority w:val="11"/>
    <w:rsid w:val="00C4619D"/>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1"/>
    <w:link w:val="a5"/>
    <w:uiPriority w:val="11"/>
    <w:rsid w:val="00C461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C4619D"/>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1"/>
    <w:link w:val="a7"/>
    <w:uiPriority w:val="29"/>
    <w:rsid w:val="00C4619D"/>
    <w:rPr>
      <w:i/>
      <w:iCs/>
      <w:color w:val="404040" w:themeColor="text1" w:themeTint="BF"/>
    </w:rPr>
  </w:style>
  <w:style w:type="paragraph" w:styleId="a9">
    <w:name w:val="List Paragraph"/>
    <w:basedOn w:val="a"/>
    <w:uiPriority w:val="34"/>
    <w:rsid w:val="00C4619D"/>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1"/>
    <w:uiPriority w:val="21"/>
    <w:rsid w:val="00C4619D"/>
    <w:rPr>
      <w:i/>
      <w:iCs/>
      <w:color w:val="0F4761" w:themeColor="accent1" w:themeShade="BF"/>
    </w:rPr>
  </w:style>
  <w:style w:type="paragraph" w:styleId="ab">
    <w:name w:val="Intense Quote"/>
    <w:basedOn w:val="a"/>
    <w:next w:val="a"/>
    <w:link w:val="ac"/>
    <w:uiPriority w:val="30"/>
    <w:rsid w:val="00C4619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1"/>
    <w:link w:val="ab"/>
    <w:uiPriority w:val="30"/>
    <w:rsid w:val="00C4619D"/>
    <w:rPr>
      <w:i/>
      <w:iCs/>
      <w:color w:val="0F4761" w:themeColor="accent1" w:themeShade="BF"/>
    </w:rPr>
  </w:style>
  <w:style w:type="character" w:styleId="ad">
    <w:name w:val="Intense Reference"/>
    <w:basedOn w:val="a1"/>
    <w:uiPriority w:val="32"/>
    <w:rsid w:val="00C4619D"/>
    <w:rPr>
      <w:b/>
      <w:bCs/>
      <w:smallCaps/>
      <w:color w:val="0F4761" w:themeColor="accent1" w:themeShade="BF"/>
      <w:spacing w:val="5"/>
    </w:rPr>
  </w:style>
  <w:style w:type="paragraph" w:styleId="ae">
    <w:name w:val="header"/>
    <w:basedOn w:val="a"/>
    <w:link w:val="af"/>
    <w:uiPriority w:val="99"/>
    <w:unhideWhenUsed/>
    <w:rsid w:val="00C4619D"/>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C4619D"/>
    <w:rPr>
      <w:sz w:val="18"/>
      <w:szCs w:val="18"/>
    </w:rPr>
  </w:style>
  <w:style w:type="paragraph" w:styleId="af0">
    <w:name w:val="footer"/>
    <w:basedOn w:val="a"/>
    <w:link w:val="af1"/>
    <w:uiPriority w:val="99"/>
    <w:unhideWhenUsed/>
    <w:rsid w:val="00C4619D"/>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rsid w:val="00C4619D"/>
    <w:rPr>
      <w:sz w:val="18"/>
      <w:szCs w:val="18"/>
    </w:rPr>
  </w:style>
  <w:style w:type="character" w:customStyle="1" w:styleId="1Char">
    <w:name w:val="标题 1 Char"/>
    <w:rsid w:val="00FD4580"/>
    <w:rPr>
      <w:rFonts w:ascii="Arial" w:eastAsia="宋体" w:hAnsi="Arial" w:cs="Times New Roman"/>
      <w:b/>
      <w:bCs/>
      <w:color w:val="000000"/>
      <w:kern w:val="44"/>
      <w:sz w:val="44"/>
      <w:szCs w:val="44"/>
    </w:rPr>
  </w:style>
  <w:style w:type="paragraph" w:styleId="af2">
    <w:name w:val="footnote text"/>
    <w:basedOn w:val="a"/>
    <w:link w:val="11"/>
    <w:uiPriority w:val="99"/>
    <w:semiHidden/>
    <w:unhideWhenUsed/>
    <w:rsid w:val="00FD4580"/>
    <w:pPr>
      <w:snapToGrid w:val="0"/>
      <w:jc w:val="left"/>
    </w:pPr>
    <w:rPr>
      <w:sz w:val="18"/>
      <w:szCs w:val="18"/>
    </w:rPr>
  </w:style>
  <w:style w:type="character" w:customStyle="1" w:styleId="af3">
    <w:name w:val="脚注文本 字符"/>
    <w:basedOn w:val="a1"/>
    <w:uiPriority w:val="99"/>
    <w:semiHidden/>
    <w:rsid w:val="00FD4580"/>
    <w:rPr>
      <w:sz w:val="18"/>
      <w:szCs w:val="18"/>
    </w:rPr>
  </w:style>
  <w:style w:type="character" w:customStyle="1" w:styleId="11">
    <w:name w:val="脚注文本 字符1"/>
    <w:link w:val="af2"/>
    <w:uiPriority w:val="99"/>
    <w:semiHidden/>
    <w:rsid w:val="00FD4580"/>
    <w:rPr>
      <w:rFonts w:ascii="Times New Roman" w:eastAsia="宋体" w:hAnsi="Times New Roman" w:cs="Times New Roman"/>
      <w:sz w:val="18"/>
      <w:szCs w:val="18"/>
      <w14:ligatures w14:val="none"/>
    </w:rPr>
  </w:style>
  <w:style w:type="character" w:styleId="af4">
    <w:name w:val="footnote reference"/>
    <w:uiPriority w:val="99"/>
    <w:semiHidden/>
    <w:unhideWhenUsed/>
    <w:rsid w:val="00FD4580"/>
    <w:rPr>
      <w:vertAlign w:val="superscript"/>
    </w:rPr>
  </w:style>
  <w:style w:type="paragraph" w:customStyle="1" w:styleId="21">
    <w:name w:val="标题2"/>
    <w:basedOn w:val="2"/>
    <w:qFormat/>
    <w:rsid w:val="0074207A"/>
    <w:pPr>
      <w:spacing w:before="480" w:after="120" w:line="400" w:lineRule="exact"/>
    </w:pPr>
    <w:rPr>
      <w:rFonts w:ascii="黑体" w:eastAsia="黑体" w:hAnsi="黑体"/>
      <w:b/>
      <w:color w:val="000000" w:themeColor="text1"/>
      <w:sz w:val="28"/>
      <w:szCs w:val="28"/>
    </w:rPr>
  </w:style>
  <w:style w:type="paragraph" w:customStyle="1" w:styleId="31">
    <w:name w:val="标题3"/>
    <w:basedOn w:val="3"/>
    <w:link w:val="32"/>
    <w:qFormat/>
    <w:rsid w:val="0074207A"/>
    <w:pPr>
      <w:spacing w:before="240" w:after="120" w:line="400" w:lineRule="exact"/>
    </w:pPr>
    <w:rPr>
      <w:rFonts w:eastAsia="黑体"/>
      <w:b/>
      <w:color w:val="auto"/>
      <w:sz w:val="28"/>
      <w:szCs w:val="26"/>
    </w:rPr>
  </w:style>
  <w:style w:type="character" w:customStyle="1" w:styleId="32">
    <w:name w:val="标题3 字符"/>
    <w:basedOn w:val="30"/>
    <w:link w:val="31"/>
    <w:rsid w:val="0074207A"/>
    <w:rPr>
      <w:rFonts w:asciiTheme="majorHAnsi" w:eastAsia="黑体" w:hAnsiTheme="majorHAnsi" w:cstheme="majorBidi"/>
      <w:b/>
      <w:color w:val="0F4761" w:themeColor="accent1" w:themeShade="BF"/>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1334</Words>
  <Characters>7608</Characters>
  <Application>Microsoft Office Word</Application>
  <DocSecurity>0</DocSecurity>
  <Lines>63</Lines>
  <Paragraphs>17</Paragraphs>
  <ScaleCrop>false</ScaleCrop>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5</cp:revision>
  <dcterms:created xsi:type="dcterms:W3CDTF">2025-11-21T11:38:00Z</dcterms:created>
  <dcterms:modified xsi:type="dcterms:W3CDTF">2025-11-21T11:47:00Z</dcterms:modified>
</cp:coreProperties>
</file>