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DE QUÉBEC</w:t>
      </w:r>
    </w:p>
    <w:p>
      <w:pPr>
        <w:spacing w:after="100" w:line="280"/>
        <w:jc w:val="center"/>
      </w:pPr>
      <w:r>
        <w:rPr>
          <w:rFonts w:ascii="Arial" w:cs="Arial" w:eastAsia="Arial" w:hAnsi="Arial"/>
          <w:sz w:val="22"/>
          <w:szCs w:val="22"/>
        </w:rPr>
        <w:t xml:space="preserve">DISTRICT JUDICIAIRE DE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200"/>
      </w:pPr>
    </w:p>
    <w:p>
      <w:pPr>
        <w:spacing w:after="60" w:before="120"/>
        <w:jc w:val="center"/>
      </w:pPr>
      <w:r>
        <w:rPr>
          <w:rFonts w:ascii="Arial" w:cs="Arial" w:eastAsia="Arial" w:hAnsi="Arial"/>
          <w:b/>
          <w:bCs/>
          <w:sz w:val="28"/>
          <w:szCs w:val="28"/>
        </w:rPr>
        <w:t xml:space="preserve">ACTE D'HYPOTHÈQUE IMMOBILIÈRE</w:t>
      </w:r>
    </w:p>
    <w:p>
      <w:pPr>
        <w:spacing w:after="60" w:before="60"/>
        <w:jc w:val="center"/>
      </w:pPr>
      <w:r>
        <w:rPr>
          <w:rFonts w:ascii="Arial" w:cs="Arial" w:eastAsia="Arial" w:hAnsi="Arial"/>
          <w:b/>
          <w:bCs/>
          <w:sz w:val="24"/>
          <w:szCs w:val="24"/>
        </w:rPr>
        <w:t xml:space="preserve">PROJET DE CONSTRUCTION</w:t>
      </w:r>
    </w:p>
    <w:p>
      <w:pPr>
        <w:spacing w:after="100" w:line="280"/>
        <w:jc w:val="center"/>
      </w:pPr>
      <w:r>
        <w:rPr>
          <w:rFonts w:ascii="Arial" w:cs="Arial" w:eastAsia="Arial" w:hAnsi="Arial"/>
          <w:i/>
          <w:iCs/>
          <w:sz w:val="22"/>
          <w:szCs w:val="22"/>
        </w:rPr>
        <w:t xml:space="preserve">(Code civil du Québec, art. 2660 et s.)</w:t>
      </w:r>
    </w:p>
    <w:p>
      <w:pPr>
        <w:spacing w:after="200"/>
      </w:pPr>
    </w:p>
    <w:p>
      <w:pPr>
        <w:keepNext/>
        <w:spacing w:after="120" w:before="240"/>
      </w:pPr>
      <w:r>
        <w:rPr>
          <w:rFonts w:ascii="Arial" w:cs="Arial" w:eastAsia="Arial" w:hAnsi="Arial"/>
          <w:b/>
          <w:bCs/>
          <w:sz w:val="24"/>
          <w:szCs w:val="24"/>
        </w:rPr>
        <w:t xml:space="preserve">IDENTIFICATION DES PARTIES</w:t>
      </w:r>
    </w:p>
    <w:p>
      <w:pPr>
        <w:keepNext/>
        <w:spacing w:after="60" w:before="180"/>
      </w:pPr>
      <w:r>
        <w:rPr>
          <w:rFonts w:ascii="Arial" w:cs="Arial" w:eastAsia="Arial" w:hAnsi="Arial"/>
          <w:b/>
          <w:bCs/>
          <w:sz w:val="22"/>
          <w:szCs w:val="22"/>
        </w:rPr>
        <w:t xml:space="preserve">CRÉANCIER HYPOTHÉCAIRE :</w:t>
      </w:r>
    </w:p>
    <w:p>
      <w:pPr>
        <w:spacing w:after="100" w:line="280"/>
        <w:jc w:val="both"/>
      </w:pPr>
      <w:r>
        <w:rPr>
          <w:rFonts w:ascii="Arial" w:cs="Arial" w:eastAsia="Arial" w:hAnsi="Arial"/>
          <w:sz w:val="22"/>
          <w:szCs w:val="22"/>
        </w:rPr>
        <w:t xml:space="preserve">CAPITAL NORVEX INC., personne morale légalement constituée en vertu des lois du Québec, ayant son siège social au 2705-1000, rue André-Prévost, Verdun, Montréal (Québec) H3E 0G2, ci-après « Capital Norvex » ou le « Prêteur »;</w:t>
      </w:r>
    </w:p>
    <w:p>
      <w:pPr>
        <w:spacing w:after="100" w:line="280"/>
        <w:jc w:val="both"/>
      </w:pPr>
      <w:r>
        <w:rPr>
          <w:rFonts w:ascii="Arial" w:cs="Arial" w:eastAsia="Arial" w:hAnsi="Arial"/>
          <w:sz w:val="22"/>
          <w:szCs w:val="22"/>
        </w:rPr>
        <w:t xml:space="preserve">Représentée aux fins des présentes par :</w:t>
      </w:r>
    </w:p>
    <w:p>
      <w:pPr>
        <w:spacing w:after="100" w:line="280"/>
        <w:jc w:val="both"/>
      </w:pPr>
      <w:r>
        <w:rPr>
          <w:rFonts w:ascii="Arial" w:cs="Arial" w:eastAsia="Arial" w:hAnsi="Arial"/>
          <w:sz w:val="22"/>
          <w:szCs w:val="22"/>
        </w:rPr>
        <w:t xml:space="preserve">Nom du mandataire désigné :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Titre / Qualité :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Dûment autorisé(e) à signer pour et au nom de Capital Norvex Inc. en vertu d'une résolution corporative adoptée par l'actionnaire unique et présidente, Madame Suzanne Breton, en date du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(la « Résolution »), dont copie certifiée conforme est annexée aux présentes à l'Annexe J.</w:t>
      </w:r>
    </w:p>
    <w:p>
      <w:pPr>
        <w:keepNext/>
        <w:spacing w:after="60" w:before="180"/>
      </w:pPr>
      <w:r>
        <w:rPr>
          <w:rFonts w:ascii="Arial" w:cs="Arial" w:eastAsia="Arial" w:hAnsi="Arial"/>
          <w:b/>
          <w:bCs/>
          <w:sz w:val="22"/>
          <w:szCs w:val="22"/>
        </w:rPr>
        <w:t xml:space="preserve">DÉBITEUR HYPOTHÉCAIRE :</w:t>
      </w:r>
    </w:p>
    <w:p>
      <w:pPr>
        <w:spacing w:after="100" w:line="280"/>
        <w:jc w:val="both"/>
      </w:pP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personne morale immatriculée au Registre des entreprises sous le numéro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siège social au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représentée par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à titre de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ci-après « l'Emprunteur »;</w:t>
      </w:r>
    </w:p>
    <w:p>
      <w:pPr>
        <w:keepNext/>
        <w:spacing w:after="60" w:before="180"/>
      </w:pPr>
      <w:r>
        <w:rPr>
          <w:rFonts w:ascii="Arial" w:cs="Arial" w:eastAsia="Arial" w:hAnsi="Arial"/>
          <w:b/>
          <w:bCs/>
          <w:sz w:val="22"/>
          <w:szCs w:val="22"/>
        </w:rPr>
        <w:t xml:space="preserve">GARANT(S) (s'il y a lieu) :</w:t>
      </w:r>
    </w:p>
    <w:p>
      <w:pPr>
        <w:spacing w:after="100" w:line="280"/>
        <w:jc w:val="both"/>
      </w:pP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ci-après « le Garant ».</w:t>
      </w:r>
    </w:p>
    <w:p>
      <w:pPr>
        <w:keepNext/>
        <w:spacing w:after="120" w:before="240"/>
      </w:pPr>
      <w:r>
        <w:rPr>
          <w:rFonts w:ascii="Arial" w:cs="Arial" w:eastAsia="Arial" w:hAnsi="Arial"/>
          <w:b/>
          <w:bCs/>
          <w:sz w:val="24"/>
          <w:szCs w:val="24"/>
        </w:rPr>
        <w:t xml:space="preserve">EXPOSÉ PRÉLIMINAIRE</w:t>
      </w:r>
    </w:p>
    <w:p>
      <w:pPr>
        <w:spacing w:after="100" w:line="280"/>
        <w:jc w:val="both"/>
      </w:pPr>
      <w:r>
        <w:rPr>
          <w:rFonts w:ascii="Arial" w:cs="Arial" w:eastAsia="Arial" w:hAnsi="Arial"/>
          <w:sz w:val="22"/>
          <w:szCs w:val="22"/>
        </w:rPr>
        <w:t xml:space="preserve">ATTENDU QUE l'Emprunteur est propriétaire ou s'apprête à acquérir l'immeuble décrit ci-après (l'« Immeuble ») sur lequel il entend réaliser un projet de construction (le « Projet »);</w:t>
      </w:r>
    </w:p>
    <w:p>
      <w:pPr>
        <w:spacing w:after="100" w:line="280"/>
        <w:jc w:val="both"/>
      </w:pPr>
      <w:r>
        <w:rPr>
          <w:rFonts w:ascii="Arial" w:cs="Arial" w:eastAsia="Arial" w:hAnsi="Arial"/>
          <w:sz w:val="22"/>
          <w:szCs w:val="22"/>
        </w:rPr>
        <w:t xml:space="preserve">ATTENDU QUE l'Emprunteur a soumis au Prêteur un budget de construction, un calendrier de réalisation, des plans et devis, ainsi que les soumissions d'entrepreneur(s) général(aux);</w:t>
      </w:r>
    </w:p>
    <w:p>
      <w:pPr>
        <w:spacing w:after="100" w:line="280"/>
        <w:jc w:val="both"/>
      </w:pPr>
      <w:r>
        <w:rPr>
          <w:rFonts w:ascii="Arial" w:cs="Arial" w:eastAsia="Arial" w:hAnsi="Arial"/>
          <w:sz w:val="22"/>
          <w:szCs w:val="22"/>
        </w:rPr>
        <w:t xml:space="preserve">ATTENDU QUE l'Emprunteur désire obtenir du Prêteur un prêt hypothécaire de construction afin de financer la réalisation du Projet;</w:t>
      </w:r>
    </w:p>
    <w:p>
      <w:pPr>
        <w:spacing w:after="100" w:line="280"/>
        <w:jc w:val="both"/>
      </w:pPr>
      <w:r>
        <w:rPr>
          <w:rFonts w:ascii="Arial" w:cs="Arial" w:eastAsia="Arial" w:hAnsi="Arial"/>
          <w:sz w:val="22"/>
          <w:szCs w:val="22"/>
        </w:rPr>
        <w:t xml:space="preserve">ATTENDU QUE le Prêteur consent à accorder ledit prêt sous les termes ci-après, incluant notamment un déboursement progressif des fonds selon l'avancement des travaux et une retenue de garantie (holdback);</w:t>
      </w:r>
    </w:p>
    <w:p>
      <w:pPr>
        <w:spacing w:after="100" w:line="280"/>
        <w:jc w:val="both"/>
      </w:pPr>
      <w:r>
        <w:rPr>
          <w:rFonts w:ascii="Arial" w:cs="Arial" w:eastAsia="Arial" w:hAnsi="Arial"/>
          <w:sz w:val="22"/>
          <w:szCs w:val="22"/>
        </w:rPr>
        <w:t xml:space="preserve">EN CONSIDÉRATION de ces prémisses, les Parties conviennent :</w:t>
      </w:r>
    </w:p>
    <w:p>
      <w:pPr>
        <w:keepNext/>
        <w:spacing w:after="120" w:before="240"/>
      </w:pPr>
      <w:r>
        <w:rPr>
          <w:rFonts w:ascii="Arial" w:cs="Arial" w:eastAsia="Arial" w:hAnsi="Arial"/>
          <w:b/>
          <w:bCs/>
          <w:sz w:val="24"/>
          <w:szCs w:val="24"/>
        </w:rPr>
        <w:t xml:space="preserve">ARTICLE 1 — PRÊT HYPOTHÉCAIRE DE CONSTRUCTION</w:t>
      </w:r>
    </w:p>
    <w:p>
      <w:pPr>
        <w:keepNext/>
        <w:spacing w:after="60" w:before="180"/>
      </w:pPr>
      <w:r>
        <w:rPr>
          <w:rFonts w:ascii="Arial" w:cs="Arial" w:eastAsia="Arial" w:hAnsi="Arial"/>
          <w:b/>
          <w:bCs/>
          <w:sz w:val="22"/>
          <w:szCs w:val="22"/>
        </w:rPr>
        <w:t xml:space="preserve">1.1  Montant maximum autorisé du Prêt</w:t>
      </w:r>
    </w:p>
    <w:p>
      <w:pPr>
        <w:spacing w:after="100" w:line="280"/>
        <w:jc w:val="both"/>
      </w:pPr>
      <w:r>
        <w:rPr>
          <w:rFonts w:ascii="Arial" w:cs="Arial" w:eastAsia="Arial" w:hAnsi="Arial"/>
          <w:sz w:val="22"/>
          <w:szCs w:val="22"/>
        </w:rPr>
        <w:t xml:space="preserve">Le Prêteur consent à l'Emprunteur un prêt hypothécaire de construction d'un montant maximum autorisé de (</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dollars canadiens (</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ci-après le « Prêt ». Ce montant représente le plafond maximal déboursé progressivement selon l'avancement des travaux.</w:t>
      </w:r>
    </w:p>
    <w:p>
      <w:pPr>
        <w:keepNext/>
        <w:spacing w:after="60" w:before="180"/>
      </w:pPr>
      <w:r>
        <w:rPr>
          <w:rFonts w:ascii="Arial" w:cs="Arial" w:eastAsia="Arial" w:hAnsi="Arial"/>
          <w:b/>
          <w:bCs/>
          <w:sz w:val="22"/>
          <w:szCs w:val="22"/>
        </w:rPr>
        <w:t xml:space="preserve">1.2  Finalité</w:t>
      </w:r>
    </w:p>
    <w:p>
      <w:pPr>
        <w:spacing w:after="100" w:line="280"/>
        <w:jc w:val="both"/>
      </w:pPr>
      <w:r>
        <w:rPr>
          <w:rFonts w:ascii="Arial" w:cs="Arial" w:eastAsia="Arial" w:hAnsi="Arial"/>
          <w:sz w:val="22"/>
          <w:szCs w:val="22"/>
        </w:rPr>
        <w:t xml:space="preserve">Le Prêt est consenti exclusivement aux fins de financement de la construction du Projet décrit à l'Annexe A, situé au </w:t>
      </w:r>
      <w:r>
        <w:fldChar w:fldCharType="begin">
          <w:ffData>
            <w:name w:val="Field13"/>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1.3  Déboursement progressif des fonds par tranches</w:t>
      </w:r>
    </w:p>
    <w:p>
      <w:pPr>
        <w:spacing w:after="100" w:line="280"/>
        <w:jc w:val="both"/>
      </w:pPr>
      <w:r>
        <w:rPr>
          <w:rFonts w:ascii="Arial" w:cs="Arial" w:eastAsia="Arial" w:hAnsi="Arial"/>
          <w:sz w:val="22"/>
          <w:szCs w:val="22"/>
        </w:rPr>
        <w:t xml:space="preserve">Le Prêt sera déboursé en tranches successives, sur la base de l'avancement réel des travaux constaté par un évaluateur agréé (AACI) ou un inspecteur de chantier mandaté par le Prêteur, conformément au calendrier suivant :</w:t>
      </w:r>
    </w:p>
    <w:p>
      <w:pPr>
        <w:pStyle w:val="ListParagraph"/>
        <w:numPr>
          <w:ilvl w:val="0"/>
          <w:numId w:val="2"/>
        </w:numPr>
        <w:spacing w:after="60"/>
      </w:pPr>
      <w:r>
        <w:rPr>
          <w:rFonts w:ascii="Arial" w:cs="Arial" w:eastAsia="Arial" w:hAnsi="Arial"/>
          <w:sz w:val="22"/>
          <w:szCs w:val="22"/>
        </w:rPr>
        <w:t xml:space="preserve">Tranche 1 — Acquisition du terrain et soft costs :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(à la signature et publication du présent acte);</w:t>
      </w:r>
    </w:p>
    <w:p>
      <w:pPr>
        <w:pStyle w:val="ListParagraph"/>
        <w:numPr>
          <w:ilvl w:val="0"/>
          <w:numId w:val="2"/>
        </w:numPr>
        <w:spacing w:after="60"/>
      </w:pPr>
      <w:r>
        <w:rPr>
          <w:rFonts w:ascii="Arial" w:cs="Arial" w:eastAsia="Arial" w:hAnsi="Arial"/>
          <w:sz w:val="22"/>
          <w:szCs w:val="22"/>
        </w:rPr>
        <w:t xml:space="preserve">Tranche 2 — Excavation et fondations :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(sur certificat d'avancement signé par l'inspecteur);</w:t>
      </w:r>
    </w:p>
    <w:p>
      <w:pPr>
        <w:pStyle w:val="ListParagraph"/>
        <w:numPr>
          <w:ilvl w:val="0"/>
          <w:numId w:val="2"/>
        </w:numPr>
        <w:spacing w:after="60"/>
      </w:pPr>
      <w:r>
        <w:rPr>
          <w:rFonts w:ascii="Arial" w:cs="Arial" w:eastAsia="Arial" w:hAnsi="Arial"/>
          <w:sz w:val="22"/>
          <w:szCs w:val="22"/>
        </w:rPr>
        <w:t xml:space="preserve">Tranche 3 — Charpente, toiture et fenestration (clos et couvert) :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Tranche 4 — Plomberie, électricité, mécanique et finitions intérieures :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Tranche 5 — Achèvement substantiel et certificat de fin de travaux : </w:t>
      </w:r>
      <w:r>
        <w:fldChar w:fldCharType="begin">
          <w:ffData>
            <w:name w:val="Field1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Tranche finale (libération du holdback) :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(à la libération de la retenue, voir 1.5);</w:t>
      </w:r>
    </w:p>
    <w:p>
      <w:pPr>
        <w:spacing w:after="100" w:line="280"/>
        <w:jc w:val="both"/>
      </w:pPr>
      <w:r>
        <w:rPr>
          <w:rFonts w:ascii="Arial" w:cs="Arial" w:eastAsia="Arial" w:hAnsi="Arial"/>
          <w:sz w:val="22"/>
          <w:szCs w:val="22"/>
        </w:rPr>
        <w:t xml:space="preserve">Chaque demande de tirage devra être accompagnée des pièces justificatives suivantes : factures originales, déclarations de quittance partielle des sous-traitants, photos d'avancement, et certificat d'inspection du chantier. Le Prêteur se réserve le droit de refuser tout tirage non conforme.</w:t>
      </w:r>
    </w:p>
    <w:p>
      <w:pPr>
        <w:keepNext/>
        <w:spacing w:after="60" w:before="180"/>
      </w:pPr>
      <w:r>
        <w:rPr>
          <w:rFonts w:ascii="Arial" w:cs="Arial" w:eastAsia="Arial" w:hAnsi="Arial"/>
          <w:b/>
          <w:bCs/>
          <w:sz w:val="22"/>
          <w:szCs w:val="22"/>
        </w:rPr>
        <w:t xml:space="preserve">1.4  Conditions préalables au déboursement initial</w:t>
      </w:r>
    </w:p>
    <w:p>
      <w:pPr>
        <w:spacing w:after="100" w:line="280"/>
        <w:jc w:val="both"/>
      </w:pPr>
      <w:r>
        <w:rPr>
          <w:rFonts w:ascii="Arial" w:cs="Arial" w:eastAsia="Arial" w:hAnsi="Arial"/>
          <w:sz w:val="22"/>
          <w:szCs w:val="22"/>
        </w:rPr>
        <w:t xml:space="preserve">Le déboursement de la première tranche est conditionnel à :</w:t>
      </w:r>
    </w:p>
    <w:p>
      <w:pPr>
        <w:pStyle w:val="ListParagraph"/>
        <w:numPr>
          <w:ilvl w:val="0"/>
          <w:numId w:val="2"/>
        </w:numPr>
        <w:spacing w:after="60"/>
      </w:pPr>
      <w:r>
        <w:rPr>
          <w:rFonts w:ascii="Arial" w:cs="Arial" w:eastAsia="Arial" w:hAnsi="Arial"/>
          <w:sz w:val="22"/>
          <w:szCs w:val="22"/>
        </w:rPr>
        <w:t xml:space="preserve">Confirmation du premier rang hypothécaire par le notaire instrumentant;</w:t>
      </w:r>
    </w:p>
    <w:p>
      <w:pPr>
        <w:pStyle w:val="ListParagraph"/>
        <w:numPr>
          <w:ilvl w:val="0"/>
          <w:numId w:val="2"/>
        </w:numPr>
        <w:spacing w:after="60"/>
      </w:pPr>
      <w:r>
        <w:rPr>
          <w:rFonts w:ascii="Arial" w:cs="Arial" w:eastAsia="Arial" w:hAnsi="Arial"/>
          <w:sz w:val="22"/>
          <w:szCs w:val="22"/>
        </w:rPr>
        <w:t xml:space="preserve">Preuve de titre clair et absence d'hypothèques, charges ou servitudes non divulguées;</w:t>
      </w:r>
    </w:p>
    <w:p>
      <w:pPr>
        <w:pStyle w:val="ListParagraph"/>
        <w:numPr>
          <w:ilvl w:val="0"/>
          <w:numId w:val="2"/>
        </w:numPr>
        <w:spacing w:after="60"/>
      </w:pPr>
      <w:r>
        <w:rPr>
          <w:rFonts w:ascii="Arial" w:cs="Arial" w:eastAsia="Arial" w:hAnsi="Arial"/>
          <w:sz w:val="22"/>
          <w:szCs w:val="22"/>
        </w:rPr>
        <w:t xml:space="preserve">Évaluation agréée (AACI) à la fois prospective (valeur stabilisée) et au coût constaté;</w:t>
      </w:r>
    </w:p>
    <w:p>
      <w:pPr>
        <w:pStyle w:val="ListParagraph"/>
        <w:numPr>
          <w:ilvl w:val="0"/>
          <w:numId w:val="2"/>
        </w:numPr>
        <w:spacing w:after="60"/>
      </w:pPr>
      <w:r>
        <w:rPr>
          <w:rFonts w:ascii="Arial" w:cs="Arial" w:eastAsia="Arial" w:hAnsi="Arial"/>
          <w:sz w:val="22"/>
          <w:szCs w:val="22"/>
        </w:rPr>
        <w:t xml:space="preserve">Permis de construction valide délivré par la municipalité;</w:t>
      </w:r>
    </w:p>
    <w:p>
      <w:pPr>
        <w:pStyle w:val="ListParagraph"/>
        <w:numPr>
          <w:ilvl w:val="0"/>
          <w:numId w:val="2"/>
        </w:numPr>
        <w:spacing w:after="60"/>
      </w:pPr>
      <w:r>
        <w:rPr>
          <w:rFonts w:ascii="Arial" w:cs="Arial" w:eastAsia="Arial" w:hAnsi="Arial"/>
          <w:sz w:val="22"/>
          <w:szCs w:val="22"/>
        </w:rPr>
        <w:t xml:space="preserve">Étude de sol (géotechnique) et évaluation environnementale Phase I, acceptables au Prêteur;</w:t>
      </w:r>
    </w:p>
    <w:p>
      <w:pPr>
        <w:pStyle w:val="ListParagraph"/>
        <w:numPr>
          <w:ilvl w:val="0"/>
          <w:numId w:val="2"/>
        </w:numPr>
        <w:spacing w:after="60"/>
      </w:pPr>
      <w:r>
        <w:rPr>
          <w:rFonts w:ascii="Arial" w:cs="Arial" w:eastAsia="Arial" w:hAnsi="Arial"/>
          <w:sz w:val="22"/>
          <w:szCs w:val="22"/>
        </w:rPr>
        <w:t xml:space="preserve">Police d'assurance chantier (tous risques) avec Capital Norvex désigné comme assuré additionnel et bénéficiaire en cas de sinistre;</w:t>
      </w:r>
    </w:p>
    <w:p>
      <w:pPr>
        <w:pStyle w:val="ListParagraph"/>
        <w:numPr>
          <w:ilvl w:val="0"/>
          <w:numId w:val="2"/>
        </w:numPr>
        <w:spacing w:after="60"/>
      </w:pPr>
      <w:r>
        <w:rPr>
          <w:rFonts w:ascii="Arial" w:cs="Arial" w:eastAsia="Arial" w:hAnsi="Arial"/>
          <w:sz w:val="22"/>
          <w:szCs w:val="22"/>
        </w:rPr>
        <w:t xml:space="preserve">Cautionnement d'exécution et de paiement de l'entrepreneur général (s'il y a lieu);</w:t>
      </w:r>
    </w:p>
    <w:p>
      <w:pPr>
        <w:pStyle w:val="ListParagraph"/>
        <w:numPr>
          <w:ilvl w:val="0"/>
          <w:numId w:val="2"/>
        </w:numPr>
        <w:spacing w:after="60"/>
      </w:pPr>
      <w:r>
        <w:rPr>
          <w:rFonts w:ascii="Arial" w:cs="Arial" w:eastAsia="Arial" w:hAnsi="Arial"/>
          <w:sz w:val="22"/>
          <w:szCs w:val="22"/>
        </w:rPr>
        <w:t xml:space="preserve">Garantie de construction résidentielle (GCR) ou Garantie habitation-confort (selon nature du Projet);</w:t>
      </w:r>
    </w:p>
    <w:p>
      <w:pPr>
        <w:pStyle w:val="ListParagraph"/>
        <w:numPr>
          <w:ilvl w:val="0"/>
          <w:numId w:val="2"/>
        </w:numPr>
        <w:spacing w:after="60"/>
      </w:pPr>
      <w:r>
        <w:rPr>
          <w:rFonts w:ascii="Arial" w:cs="Arial" w:eastAsia="Arial" w:hAnsi="Arial"/>
          <w:sz w:val="22"/>
          <w:szCs w:val="22"/>
        </w:rPr>
        <w:t xml:space="preserve">Cession en faveur du Prêteur des contrats avec l'entrepreneur général, des plans et devis, des permis et de tous documents accessoires;</w:t>
      </w:r>
    </w:p>
    <w:p>
      <w:pPr>
        <w:pStyle w:val="ListParagraph"/>
        <w:numPr>
          <w:ilvl w:val="0"/>
          <w:numId w:val="2"/>
        </w:numPr>
        <w:spacing w:after="60"/>
      </w:pPr>
      <w:r>
        <w:rPr>
          <w:rFonts w:ascii="Arial" w:cs="Arial" w:eastAsia="Arial" w:hAnsi="Arial"/>
          <w:sz w:val="22"/>
          <w:szCs w:val="22"/>
        </w:rPr>
        <w:t xml:space="preserve">Signature du présent acte et de tout document accessoire requis par le Prêteur.</w:t>
      </w:r>
    </w:p>
    <w:p>
      <w:pPr>
        <w:keepNext/>
        <w:spacing w:after="60" w:before="180"/>
      </w:pPr>
      <w:r>
        <w:rPr>
          <w:rFonts w:ascii="Arial" w:cs="Arial" w:eastAsia="Arial" w:hAnsi="Arial"/>
          <w:b/>
          <w:bCs/>
          <w:sz w:val="22"/>
          <w:szCs w:val="22"/>
        </w:rPr>
        <w:t xml:space="preserve">1.5  Holdback de construction (retenue de garantie)</w:t>
      </w:r>
    </w:p>
    <w:p>
      <w:pPr>
        <w:spacing w:after="100" w:line="280"/>
        <w:jc w:val="both"/>
      </w:pPr>
      <w:r>
        <w:rPr>
          <w:rFonts w:ascii="Arial" w:cs="Arial" w:eastAsia="Arial" w:hAnsi="Arial"/>
          <w:sz w:val="22"/>
          <w:szCs w:val="22"/>
        </w:rPr>
        <w:t xml:space="preserve">Une retenue de cinq pour cent (5 %) de chaque tranche déboursée sera conservée par le Prêteur à titre de holdback de construction, conformément à la pratique usuelle au Québec. Cette retenue sera libérée trente-cinq (35) jours après la fin des travaux, sous réserve de l'absence de tout enregistrement d'hypothèque légale de la construction (art. 2726 et s. C.c.Q.) et après remise des quittances finales de tous les fournisseurs et sous-traitants.</w:t>
      </w:r>
    </w:p>
    <w:p>
      <w:pPr>
        <w:keepNext/>
        <w:spacing w:after="60" w:before="180"/>
      </w:pPr>
      <w:r>
        <w:rPr>
          <w:rFonts w:ascii="Arial" w:cs="Arial" w:eastAsia="Arial" w:hAnsi="Arial"/>
          <w:b/>
          <w:bCs/>
          <w:sz w:val="22"/>
          <w:szCs w:val="22"/>
        </w:rPr>
        <w:t xml:space="preserve">1.6  Ratios LTC et LTV</w:t>
      </w:r>
    </w:p>
    <w:p>
      <w:pPr>
        <w:spacing w:after="100" w:line="280"/>
        <w:jc w:val="both"/>
      </w:pPr>
      <w:r>
        <w:rPr>
          <w:rFonts w:ascii="Arial" w:cs="Arial" w:eastAsia="Arial" w:hAnsi="Arial"/>
          <w:sz w:val="22"/>
          <w:szCs w:val="22"/>
        </w:rPr>
        <w:t xml:space="preserve">Le Prêt représente :</w:t>
      </w:r>
    </w:p>
    <w:p>
      <w:pPr>
        <w:pStyle w:val="ListParagraph"/>
        <w:numPr>
          <w:ilvl w:val="0"/>
          <w:numId w:val="2"/>
        </w:numPr>
        <w:spacing w:after="60"/>
      </w:pPr>
      <w:r>
        <w:rPr>
          <w:rFonts w:ascii="Arial" w:cs="Arial" w:eastAsia="Arial" w:hAnsi="Arial"/>
          <w:sz w:val="22"/>
          <w:szCs w:val="22"/>
        </w:rPr>
        <w:t xml:space="preserve">Un ratio prêt-coût (LTC) maximum de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du coût total de construction estimé à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Un ratio prêt-valeur (LTV) maximum de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de la valeur stabilisée projetée évaluée à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spacing w:after="100" w:line="280"/>
        <w:jc w:val="both"/>
      </w:pPr>
      <w:r>
        <w:rPr>
          <w:rFonts w:ascii="Arial" w:cs="Arial" w:eastAsia="Arial" w:hAnsi="Arial"/>
          <w:sz w:val="22"/>
          <w:szCs w:val="22"/>
        </w:rPr>
        <w:t xml:space="preserve">Ces ratios devront être respectés en tout temps pendant la durée du Prêt.</w:t>
      </w:r>
    </w:p>
    <w:p>
      <w:pPr>
        <w:keepNext/>
        <w:spacing w:after="120" w:before="240"/>
      </w:pPr>
      <w:r>
        <w:rPr>
          <w:rFonts w:ascii="Arial" w:cs="Arial" w:eastAsia="Arial" w:hAnsi="Arial"/>
          <w:b/>
          <w:bCs/>
          <w:sz w:val="24"/>
          <w:szCs w:val="24"/>
        </w:rPr>
        <w:t xml:space="preserve">ARTICLE 2 — CONDITIONS FINANCIÈRES</w:t>
      </w:r>
    </w:p>
    <w:p>
      <w:pPr>
        <w:keepNext/>
        <w:spacing w:after="60" w:before="180"/>
      </w:pPr>
      <w:r>
        <w:rPr>
          <w:rFonts w:ascii="Arial" w:cs="Arial" w:eastAsia="Arial" w:hAnsi="Arial"/>
          <w:b/>
          <w:bCs/>
          <w:sz w:val="22"/>
          <w:szCs w:val="22"/>
        </w:rPr>
        <w:t xml:space="preserve">2.1  Taux d'intérêt</w:t>
      </w:r>
    </w:p>
    <w:p>
      <w:pPr>
        <w:spacing w:after="100" w:line="280"/>
        <w:jc w:val="both"/>
      </w:pPr>
      <w:r>
        <w:rPr>
          <w:rFonts w:ascii="Arial" w:cs="Arial" w:eastAsia="Arial" w:hAnsi="Arial"/>
          <w:sz w:val="22"/>
          <w:szCs w:val="22"/>
        </w:rPr>
        <w:t xml:space="preserve">Le Prêt portera intérêt au taux annuel fixe de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par année, calculé et capitalisé mensuellement sur les sommes effectivement déboursées (et non sur le montant maximum autorisé).</w:t>
      </w:r>
    </w:p>
    <w:p>
      <w:pPr>
        <w:keepNext/>
        <w:spacing w:after="60" w:before="180"/>
      </w:pPr>
      <w:r>
        <w:rPr>
          <w:rFonts w:ascii="Arial" w:cs="Arial" w:eastAsia="Arial" w:hAnsi="Arial"/>
          <w:b/>
          <w:bCs/>
          <w:sz w:val="22"/>
          <w:szCs w:val="22"/>
        </w:rPr>
        <w:t xml:space="preserve">2.2  Capitalisation des intérêts pendant la phase de construction</w:t>
      </w:r>
    </w:p>
    <w:p>
      <w:pPr>
        <w:spacing w:after="100" w:line="280"/>
        <w:jc w:val="both"/>
      </w:pPr>
      <w:r>
        <w:rPr>
          <w:rFonts w:ascii="Arial" w:cs="Arial" w:eastAsia="Arial" w:hAnsi="Arial"/>
          <w:sz w:val="22"/>
          <w:szCs w:val="22"/>
        </w:rPr>
        <w:t xml:space="preserve">Les intérêts courus pendant toute la phase de construction (du déboursement initial jusqu'à la Date d'Achèvement Substantiel) sont capitalisés mensuellement et ajoutés au capital. Aucun paiement périodique d'intérêt n'est exigible pendant cette période, sous réserve du respect du plafond du Prêt.</w:t>
      </w:r>
    </w:p>
    <w:p>
      <w:pPr>
        <w:keepNext/>
        <w:spacing w:after="60" w:before="180"/>
      </w:pPr>
      <w:r>
        <w:rPr>
          <w:rFonts w:ascii="Arial" w:cs="Arial" w:eastAsia="Arial" w:hAnsi="Arial"/>
          <w:b/>
          <w:bCs/>
          <w:sz w:val="22"/>
          <w:szCs w:val="22"/>
        </w:rPr>
        <w:t xml:space="preserve">2.3  Frais de dossier</w:t>
      </w:r>
    </w:p>
    <w:p>
      <w:pPr>
        <w:spacing w:after="100" w:line="280"/>
        <w:jc w:val="both"/>
      </w:pPr>
      <w:r>
        <w:rPr>
          <w:rFonts w:ascii="Arial" w:cs="Arial" w:eastAsia="Arial" w:hAnsi="Arial"/>
          <w:sz w:val="22"/>
          <w:szCs w:val="22"/>
        </w:rPr>
        <w:t xml:space="preserve">Des frais de dossier de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du montant maximum autorisé) sont payables à Capital Norvex Inc. à la signature ou au déboursement initial, non remboursables.</w:t>
      </w:r>
    </w:p>
    <w:p>
      <w:pPr>
        <w:keepNext/>
        <w:spacing w:after="60" w:before="180"/>
      </w:pPr>
      <w:r>
        <w:rPr>
          <w:rFonts w:ascii="Arial" w:cs="Arial" w:eastAsia="Arial" w:hAnsi="Arial"/>
          <w:b/>
          <w:bCs/>
          <w:sz w:val="22"/>
          <w:szCs w:val="22"/>
        </w:rPr>
        <w:t xml:space="preserve">2.4  Frais d'analyse en cas de dépassement du terme</w:t>
      </w:r>
    </w:p>
    <w:p>
      <w:pPr>
        <w:spacing w:after="100" w:line="280"/>
        <w:jc w:val="both"/>
      </w:pPr>
      <w:r>
        <w:rPr>
          <w:rFonts w:ascii="Arial" w:cs="Arial" w:eastAsia="Arial" w:hAnsi="Arial"/>
          <w:sz w:val="22"/>
          <w:szCs w:val="22"/>
        </w:rPr>
        <w:t xml:space="preserve">Pour tout Prêt dont le terme initial est dépassé (c'est-à-dire en cas de prolongation au-delà de la Date d'Échéance initiale prévue à l'article 3.1), des frais d'analyse supplémentaires de un pour cent (1 %) du capital seront exigibles, sujets à renégociation au cas par cas selon les circonstances du dossier. Ces frais sont calculés sur le solde en capital à la Date d'Échéance et sont payables à la signature de toute prolongation ou, à défaut, sur première demande du Prêteur.</w:t>
      </w:r>
    </w:p>
    <w:p>
      <w:pPr>
        <w:keepNext/>
        <w:spacing w:after="60" w:before="180"/>
      </w:pPr>
      <w:r>
        <w:rPr>
          <w:rFonts w:ascii="Arial" w:cs="Arial" w:eastAsia="Arial" w:hAnsi="Arial"/>
          <w:b/>
          <w:bCs/>
          <w:sz w:val="22"/>
          <w:szCs w:val="22"/>
        </w:rPr>
        <w:t xml:space="preserve">2.5  Frais d'inspection</w:t>
      </w:r>
    </w:p>
    <w:p>
      <w:pPr>
        <w:spacing w:after="100" w:line="280"/>
        <w:jc w:val="both"/>
      </w:pPr>
      <w:r>
        <w:rPr>
          <w:rFonts w:ascii="Arial" w:cs="Arial" w:eastAsia="Arial" w:hAnsi="Arial"/>
          <w:sz w:val="22"/>
          <w:szCs w:val="22"/>
        </w:rPr>
        <w:t xml:space="preserve">Les honoraires de l'évaluateur ou de l'inspecteur du chantier mandaté par le Prêteur pour chaque tranche sont à la charge exclusive de l'Emprunteur, payables sur facturation.</w:t>
      </w:r>
    </w:p>
    <w:p>
      <w:pPr>
        <w:keepNext/>
        <w:spacing w:after="60" w:before="180"/>
      </w:pPr>
      <w:r>
        <w:rPr>
          <w:rFonts w:ascii="Arial" w:cs="Arial" w:eastAsia="Arial" w:hAnsi="Arial"/>
          <w:b/>
          <w:bCs/>
          <w:sz w:val="22"/>
          <w:szCs w:val="22"/>
        </w:rPr>
        <w:t xml:space="preserve">2.6  Taux de défaut</w:t>
      </w:r>
    </w:p>
    <w:p>
      <w:pPr>
        <w:spacing w:after="100" w:line="280"/>
        <w:jc w:val="both"/>
      </w:pPr>
      <w:r>
        <w:rPr>
          <w:rFonts w:ascii="Arial" w:cs="Arial" w:eastAsia="Arial" w:hAnsi="Arial"/>
          <w:sz w:val="22"/>
          <w:szCs w:val="22"/>
        </w:rPr>
        <w:t xml:space="preserve">En cas de défaut, tout montant impayé portera intérêt au taux annuel de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jusqu'à paiement intégral.</w:t>
      </w:r>
    </w:p>
    <w:p>
      <w:pPr>
        <w:keepNext/>
        <w:spacing w:after="120" w:before="240"/>
      </w:pPr>
      <w:r>
        <w:rPr>
          <w:rFonts w:ascii="Arial" w:cs="Arial" w:eastAsia="Arial" w:hAnsi="Arial"/>
          <w:b/>
          <w:bCs/>
          <w:sz w:val="24"/>
          <w:szCs w:val="24"/>
        </w:rPr>
        <w:t xml:space="preserve">ARTICLE 3 — TERME ET REMBOURSEMENT</w:t>
      </w:r>
    </w:p>
    <w:p>
      <w:pPr>
        <w:keepNext/>
        <w:spacing w:after="60" w:before="180"/>
      </w:pPr>
      <w:r>
        <w:rPr>
          <w:rFonts w:ascii="Arial" w:cs="Arial" w:eastAsia="Arial" w:hAnsi="Arial"/>
          <w:b/>
          <w:bCs/>
          <w:sz w:val="22"/>
          <w:szCs w:val="22"/>
        </w:rPr>
        <w:t xml:space="preserve">3.1  Terme</w:t>
      </w:r>
    </w:p>
    <w:p>
      <w:pPr>
        <w:spacing w:after="100" w:line="280"/>
        <w:jc w:val="both"/>
      </w:pPr>
      <w:r>
        <w:rPr>
          <w:rFonts w:ascii="Arial" w:cs="Arial" w:eastAsia="Arial" w:hAnsi="Arial"/>
          <w:sz w:val="22"/>
          <w:szCs w:val="22"/>
        </w:rPr>
        <w:t xml:space="preserve">Le terme du Prêt est de </w:t>
      </w:r>
      <w:r>
        <w:fldChar w:fldCharType="begin">
          <w:ffData>
            <w:name w:val="Field2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mois (typiquement 12 à 18 mois pour la construction), du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au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(la « Date d'Échéance »). L'intégralité du solde en capital, des intérêts capitalisés et des frais sera remboursée au plus tard à la Date d'Échéance.</w:t>
      </w:r>
    </w:p>
    <w:p>
      <w:pPr>
        <w:keepNext/>
        <w:spacing w:after="60" w:before="180"/>
      </w:pPr>
      <w:r>
        <w:rPr>
          <w:rFonts w:ascii="Arial" w:cs="Arial" w:eastAsia="Arial" w:hAnsi="Arial"/>
          <w:b/>
          <w:bCs/>
          <w:sz w:val="22"/>
          <w:szCs w:val="22"/>
        </w:rPr>
        <w:t xml:space="preserve">3.2  Achèvement substantiel</w:t>
      </w:r>
    </w:p>
    <w:p>
      <w:pPr>
        <w:spacing w:after="100" w:line="280"/>
        <w:jc w:val="both"/>
      </w:pPr>
      <w:r>
        <w:rPr>
          <w:rFonts w:ascii="Arial" w:cs="Arial" w:eastAsia="Arial" w:hAnsi="Arial"/>
          <w:sz w:val="22"/>
          <w:szCs w:val="22"/>
        </w:rPr>
        <w:t xml:space="preserve">L'Emprunteur s'engage à atteindre l'achèvement substantiel du Projet (au sens de la Loi sur le bâtiment, art. 2110 et s. C.c.Q.) au plus tard le </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Tout retard significatif devra faire l'objet d'un avis écrit motivé au Prêteur.</w:t>
      </w:r>
    </w:p>
    <w:p>
      <w:pPr>
        <w:keepNext/>
        <w:spacing w:after="60" w:before="180"/>
      </w:pPr>
      <w:r>
        <w:rPr>
          <w:rFonts w:ascii="Arial" w:cs="Arial" w:eastAsia="Arial" w:hAnsi="Arial"/>
          <w:b/>
          <w:bCs/>
          <w:sz w:val="22"/>
          <w:szCs w:val="22"/>
        </w:rPr>
        <w:t xml:space="preserve">3.3  Remboursement anticipé</w:t>
      </w:r>
    </w:p>
    <w:p>
      <w:pPr>
        <w:spacing w:after="100" w:line="280"/>
        <w:jc w:val="both"/>
      </w:pPr>
      <w:r>
        <w:rPr>
          <w:rFonts w:ascii="Arial" w:cs="Arial" w:eastAsia="Arial" w:hAnsi="Arial"/>
          <w:sz w:val="22"/>
          <w:szCs w:val="22"/>
        </w:rPr>
        <w:t xml:space="preserve">L'Emprunteur peut rembourser le Prêt en tout ou en partie sans pénalité, moyennant cinq (5) jours ouvrables de préavis écrit.</w:t>
      </w:r>
    </w:p>
    <w:p>
      <w:pPr>
        <w:keepNext/>
        <w:spacing w:after="60" w:before="180"/>
      </w:pPr>
      <w:r>
        <w:rPr>
          <w:rFonts w:ascii="Arial" w:cs="Arial" w:eastAsia="Arial" w:hAnsi="Arial"/>
          <w:b/>
          <w:bCs/>
          <w:sz w:val="22"/>
          <w:szCs w:val="22"/>
        </w:rPr>
        <w:t xml:space="preserve">3.4  Stratégie de sortie</w:t>
      </w:r>
    </w:p>
    <w:p>
      <w:pPr>
        <w:spacing w:after="100" w:line="280"/>
        <w:jc w:val="both"/>
      </w:pPr>
      <w:r>
        <w:rPr>
          <w:rFonts w:ascii="Arial" w:cs="Arial" w:eastAsia="Arial" w:hAnsi="Arial"/>
          <w:sz w:val="22"/>
          <w:szCs w:val="22"/>
        </w:rPr>
        <w:t xml:space="preserve">L'Emprunteur déclare que sa stratégie de remboursement est la suivante : </w:t>
      </w:r>
      <w:r>
        <w:fldChar w:fldCharType="begin">
          <w:ffData>
            <w:name w:val="Field32"/>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(vente / refinancement bancaire / mise en location stabilisée — biffer les mentions inutiles).</w:t>
      </w:r>
    </w:p>
    <w:p>
      <w:pPr>
        <w:spacing w:after="100" w:line="280"/>
        <w:jc w:val="both"/>
      </w:pPr>
      <w:r>
        <w:rPr>
          <w:rFonts w:ascii="Arial" w:cs="Arial" w:eastAsia="Arial" w:hAnsi="Arial"/>
          <w:sz w:val="22"/>
          <w:szCs w:val="22"/>
        </w:rPr>
        <w:t xml:space="preserve">Confirmation préliminaire de la stratégie de sortie : </w:t>
      </w:r>
      <w:r>
        <w:fldChar w:fldCharType="begin">
          <w:ffData>
            <w:name w:val="Field33"/>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w:t>
      </w:r>
    </w:p>
    <w:p>
      <w:pPr>
        <w:keepNext/>
        <w:spacing w:after="120" w:before="240"/>
      </w:pPr>
      <w:r>
        <w:rPr>
          <w:rFonts w:ascii="Arial" w:cs="Arial" w:eastAsia="Arial" w:hAnsi="Arial"/>
          <w:b/>
          <w:bCs/>
          <w:sz w:val="24"/>
          <w:szCs w:val="24"/>
        </w:rPr>
        <w:t xml:space="preserve">ARTICLE 4 — HYPOTHÈQUE IMMOBILIÈRE DE PREMIER RANG</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L'Emprunteur constitue en faveur du Prêteur une hypothèque immobilière de premier rang sur l'Immeuble, pour une somme principale de (</w:t>
      </w:r>
      <w:r>
        <w:fldChar w:fldCharType="begin">
          <w:ffData>
            <w:name w:val="Field3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dollars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plus intérêts au taux de </w:t>
      </w:r>
      <w:r>
        <w:fldChar w:fldCharType="begin">
          <w:ffData>
            <w:name w:val="Field3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l'an, plus frais et honoraires (art. 2660 et s. C.c.Q.).</w:t>
      </w:r>
    </w:p>
    <w:p>
      <w:pPr>
        <w:keepNext/>
        <w:spacing w:after="60" w:before="180"/>
      </w:pPr>
      <w:r>
        <w:rPr>
          <w:rFonts w:ascii="Arial" w:cs="Arial" w:eastAsia="Arial" w:hAnsi="Arial"/>
          <w:b/>
          <w:bCs/>
          <w:sz w:val="22"/>
          <w:szCs w:val="22"/>
        </w:rPr>
        <w:t xml:space="preserve">4.2  Description de l'Immeuble</w:t>
      </w:r>
    </w:p>
    <w:p>
      <w:pPr>
        <w:spacing w:after="100" w:line="280"/>
        <w:jc w:val="both"/>
      </w:pPr>
      <w:r>
        <w:rPr>
          <w:rFonts w:ascii="Arial" w:cs="Arial" w:eastAsia="Arial" w:hAnsi="Arial"/>
          <w:sz w:val="22"/>
          <w:szCs w:val="22"/>
        </w:rPr>
        <w:t xml:space="preserve">Adresse civique / localisation : </w:t>
      </w:r>
      <w:r>
        <w:fldChar w:fldCharType="begin">
          <w:ffData>
            <w:name w:val="Field3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Description du Projet (type de bâtiment, nombre d'étages, nombre de logements ou unités) : </w:t>
      </w:r>
      <w:r>
        <w:fldChar w:fldCharType="begin">
          <w:ffData>
            <w:name w:val="Field38"/>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Lot(s) cadastral(aux) — voir le tableau ci-dessous (le notaire peut ajouter des lignes au besoin)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Numéro de lot (cadastre du Québec)</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Circonscription foncière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Superficie / Désignation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(Le notaire peut ajouter ou retirer des lignes au tableau selon le nombre de lots concernés.)</w:t>
      </w:r>
    </w:p>
    <w:p>
      <w:pPr>
        <w:spacing w:after="100" w:line="280"/>
        <w:jc w:val="both"/>
      </w:pPr>
      <w:r>
        <w:rPr>
          <w:rFonts w:ascii="Arial" w:cs="Arial" w:eastAsia="Arial" w:hAnsi="Arial"/>
          <w:sz w:val="22"/>
          <w:szCs w:val="22"/>
        </w:rPr>
        <w:t xml:space="preserve">Désignation cadastrale complète :</w:t>
      </w:r>
    </w:p>
    <w:p>
      <w:pPr>
        <w:spacing w:after="100" w:line="280"/>
        <w:jc w:val="both"/>
      </w:pPr>
      <w:r>
        <w:fldChar w:fldCharType="begin">
          <w:ffData>
            <w:name w:val="Field39"/>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40"/>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41"/>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Valeur foncière (rôle municipal) : </w:t>
      </w:r>
      <w:r>
        <w:fldChar w:fldCharType="begin">
          <w:ffData>
            <w:name w:val="Field4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spacing w:after="100" w:line="280"/>
        <w:jc w:val="both"/>
      </w:pPr>
      <w:r>
        <w:rPr>
          <w:rFonts w:ascii="Arial" w:cs="Arial" w:eastAsia="Arial" w:hAnsi="Arial"/>
          <w:sz w:val="22"/>
          <w:szCs w:val="22"/>
        </w:rPr>
        <w:t xml:space="preserve">Coût total de construction projeté : </w:t>
      </w:r>
      <w:r>
        <w:fldChar w:fldCharType="begin">
          <w:ffData>
            <w:name w:val="Field4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spacing w:after="100" w:line="280"/>
        <w:jc w:val="both"/>
      </w:pPr>
      <w:r>
        <w:rPr>
          <w:rFonts w:ascii="Arial" w:cs="Arial" w:eastAsia="Arial" w:hAnsi="Arial"/>
          <w:sz w:val="22"/>
          <w:szCs w:val="22"/>
        </w:rPr>
        <w:t xml:space="preserve">Valeur stabilisée projetée à l'achèvement : </w:t>
      </w:r>
      <w:r>
        <w:fldChar w:fldCharType="begin">
          <w:ffData>
            <w:name w:val="Field4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keepNext/>
        <w:spacing w:after="60" w:before="180"/>
      </w:pPr>
      <w:r>
        <w:rPr>
          <w:rFonts w:ascii="Arial" w:cs="Arial" w:eastAsia="Arial" w:hAnsi="Arial"/>
          <w:b/>
          <w:bCs/>
          <w:sz w:val="22"/>
          <w:szCs w:val="22"/>
        </w:rPr>
        <w:t xml:space="preserve">4.3  Déclaration de propriété et de rang</w:t>
      </w:r>
    </w:p>
    <w:p>
      <w:pPr>
        <w:spacing w:after="100" w:line="280"/>
        <w:jc w:val="both"/>
      </w:pPr>
      <w:r>
        <w:rPr>
          <w:rFonts w:ascii="Arial" w:cs="Arial" w:eastAsia="Arial" w:hAnsi="Arial"/>
          <w:sz w:val="22"/>
          <w:szCs w:val="22"/>
        </w:rPr>
        <w:t xml:space="preserve">L'Emprunteur déclare être l'unique propriétaire de l'Immeuble (ou s'apprêter à en devenir propriétaire au moyen du déboursement initial du Prêt), libre de toute charge sauf : </w:t>
      </w:r>
      <w:r>
        <w:fldChar w:fldCharType="begin">
          <w:ffData>
            <w:name w:val="Field45"/>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et que l'Hypothèque sera de premier rang.</w:t>
      </w:r>
    </w:p>
    <w:p>
      <w:pPr>
        <w:keepNext/>
        <w:spacing w:after="60" w:before="180"/>
      </w:pPr>
      <w:r>
        <w:rPr>
          <w:rFonts w:ascii="Arial" w:cs="Arial" w:eastAsia="Arial" w:hAnsi="Arial"/>
          <w:b/>
          <w:bCs/>
          <w:sz w:val="22"/>
          <w:szCs w:val="22"/>
        </w:rPr>
        <w:t xml:space="preserve">4.4  Étendue</w:t>
      </w:r>
    </w:p>
    <w:p>
      <w:pPr>
        <w:spacing w:after="100" w:line="280"/>
        <w:jc w:val="both"/>
      </w:pPr>
      <w:r>
        <w:rPr>
          <w:rFonts w:ascii="Arial" w:cs="Arial" w:eastAsia="Arial" w:hAnsi="Arial"/>
          <w:sz w:val="22"/>
          <w:szCs w:val="22"/>
        </w:rPr>
        <w:t xml:space="preserve">L'Hypothèque s'étend à l'Immeuble tel qu'il existe et tel qu'il sera amélioré par le Projet, y compris toutes les constructions, améliorations, installations fixes et accessoires érigés ou installés à demeure pendant ou après la durée du Prêt (art. 2671 C.c.Q.).</w:t>
      </w:r>
    </w:p>
    <w:p>
      <w:pPr>
        <w:keepNext/>
        <w:spacing w:after="60" w:before="180"/>
      </w:pPr>
      <w:r>
        <w:rPr>
          <w:rFonts w:ascii="Arial" w:cs="Arial" w:eastAsia="Arial" w:hAnsi="Arial"/>
          <w:b/>
          <w:bCs/>
          <w:sz w:val="22"/>
          <w:szCs w:val="22"/>
        </w:rPr>
        <w:t xml:space="preserve">4.5  Cession de loyers et d'assurances</w:t>
      </w:r>
    </w:p>
    <w:p>
      <w:pPr>
        <w:spacing w:after="100" w:line="280"/>
        <w:jc w:val="both"/>
      </w:pPr>
      <w:r>
        <w:rPr>
          <w:rFonts w:ascii="Arial" w:cs="Arial" w:eastAsia="Arial" w:hAnsi="Arial"/>
          <w:sz w:val="22"/>
          <w:szCs w:val="22"/>
        </w:rPr>
        <w:t xml:space="preserve">L'Emprunteur cède et hypothèque au Prêteur, à titre de garantie additionnelle :</w:t>
      </w:r>
    </w:p>
    <w:p>
      <w:pPr>
        <w:pStyle w:val="ListParagraph"/>
        <w:numPr>
          <w:ilvl w:val="0"/>
          <w:numId w:val="2"/>
        </w:numPr>
        <w:spacing w:after="60"/>
      </w:pPr>
      <w:r>
        <w:rPr>
          <w:rFonts w:ascii="Arial" w:cs="Arial" w:eastAsia="Arial" w:hAnsi="Arial"/>
          <w:sz w:val="22"/>
          <w:szCs w:val="22"/>
        </w:rPr>
        <w:t xml:space="preserve">Toutes les polices d'assurance liées à l'Immeuble et au Projet, avec Capital Norvex désigné comme bénéficiaire en cas de sinistre;</w:t>
      </w:r>
    </w:p>
    <w:p>
      <w:pPr>
        <w:pStyle w:val="ListParagraph"/>
        <w:numPr>
          <w:ilvl w:val="0"/>
          <w:numId w:val="2"/>
        </w:numPr>
        <w:spacing w:after="60"/>
      </w:pPr>
      <w:r>
        <w:rPr>
          <w:rFonts w:ascii="Arial" w:cs="Arial" w:eastAsia="Arial" w:hAnsi="Arial"/>
          <w:sz w:val="22"/>
          <w:szCs w:val="22"/>
        </w:rPr>
        <w:t xml:space="preserve">Tous les loyers et baux conclus pendant ou après la phase de construction (art. 2695 C.c.Q.).</w:t>
      </w:r>
    </w:p>
    <w:p>
      <w:pPr>
        <w:spacing w:after="100" w:line="280"/>
        <w:jc w:val="both"/>
      </w:pPr>
      <w:r>
        <w:rPr>
          <w:rFonts w:ascii="Arial" w:cs="Arial" w:eastAsia="Arial" w:hAnsi="Arial"/>
          <w:sz w:val="22"/>
          <w:szCs w:val="22"/>
        </w:rPr>
        <w:t xml:space="preserve">Ces cessions deviendront exécutoires de plein droit lors d'un Événement de Défaut. La cession des contrats avec l'entrepreneur général et les sous-traitants principaux, des plans et devis, des permis et de tous documents accessoires fait l'objet de stipulations distinctes prévues à la Convention de prêt entre les Parties.</w:t>
      </w:r>
    </w:p>
    <w:p>
      <w:pPr>
        <w:keepNext/>
        <w:spacing w:after="60" w:before="180"/>
      </w:pPr>
      <w:r>
        <w:rPr>
          <w:rFonts w:ascii="Arial" w:cs="Arial" w:eastAsia="Arial" w:hAnsi="Arial"/>
          <w:b/>
          <w:bCs/>
          <w:sz w:val="22"/>
          <w:szCs w:val="22"/>
        </w:rPr>
        <w:t xml:space="preserve">4.6  Restrictions additionnelles</w:t>
      </w:r>
    </w:p>
    <w:p>
      <w:pPr>
        <w:spacing w:after="100" w:line="280"/>
        <w:jc w:val="both"/>
      </w:pPr>
      <w:r>
        <w:rPr>
          <w:rFonts w:ascii="Arial" w:cs="Arial" w:eastAsia="Arial" w:hAnsi="Arial"/>
          <w:sz w:val="22"/>
          <w:szCs w:val="22"/>
        </w:rPr>
        <w:t xml:space="preserve">Sans le consentement écrit préalable du Prêteur, l'Emprunteur ne peut :</w:t>
      </w:r>
    </w:p>
    <w:p>
      <w:pPr>
        <w:pStyle w:val="ListParagraph"/>
        <w:numPr>
          <w:ilvl w:val="0"/>
          <w:numId w:val="2"/>
        </w:numPr>
        <w:spacing w:after="60"/>
      </w:pPr>
      <w:r>
        <w:rPr>
          <w:rFonts w:ascii="Arial" w:cs="Arial" w:eastAsia="Arial" w:hAnsi="Arial"/>
          <w:sz w:val="22"/>
          <w:szCs w:val="22"/>
        </w:rPr>
        <w:t xml:space="preserve">Constituer toute charge, hypothèque ou sûreté additionnelle sur l'Immeuble;</w:t>
      </w:r>
    </w:p>
    <w:p>
      <w:pPr>
        <w:pStyle w:val="ListParagraph"/>
        <w:numPr>
          <w:ilvl w:val="0"/>
          <w:numId w:val="2"/>
        </w:numPr>
        <w:spacing w:after="60"/>
      </w:pPr>
      <w:r>
        <w:rPr>
          <w:rFonts w:ascii="Arial" w:cs="Arial" w:eastAsia="Arial" w:hAnsi="Arial"/>
          <w:sz w:val="22"/>
          <w:szCs w:val="22"/>
        </w:rPr>
        <w:t xml:space="preserve">Modifier les plans et devis approuvés du Projet de manière substantielle;</w:t>
      </w:r>
    </w:p>
    <w:p>
      <w:pPr>
        <w:pStyle w:val="ListParagraph"/>
        <w:numPr>
          <w:ilvl w:val="0"/>
          <w:numId w:val="2"/>
        </w:numPr>
        <w:spacing w:after="60"/>
      </w:pPr>
      <w:r>
        <w:rPr>
          <w:rFonts w:ascii="Arial" w:cs="Arial" w:eastAsia="Arial" w:hAnsi="Arial"/>
          <w:sz w:val="22"/>
          <w:szCs w:val="22"/>
        </w:rPr>
        <w:t xml:space="preserve">Changer l'entrepreneur général ou un sous-traitant principal;</w:t>
      </w:r>
    </w:p>
    <w:p>
      <w:pPr>
        <w:pStyle w:val="ListParagraph"/>
        <w:numPr>
          <w:ilvl w:val="0"/>
          <w:numId w:val="2"/>
        </w:numPr>
        <w:spacing w:after="60"/>
      </w:pPr>
      <w:r>
        <w:rPr>
          <w:rFonts w:ascii="Arial" w:cs="Arial" w:eastAsia="Arial" w:hAnsi="Arial"/>
          <w:sz w:val="22"/>
          <w:szCs w:val="22"/>
        </w:rPr>
        <w:t xml:space="preserve">Vendre, aliéner, subdiviser, morceler ou regrouper l'Immeuble;</w:t>
      </w:r>
    </w:p>
    <w:p>
      <w:pPr>
        <w:pStyle w:val="ListParagraph"/>
        <w:numPr>
          <w:ilvl w:val="0"/>
          <w:numId w:val="2"/>
        </w:numPr>
        <w:spacing w:after="60"/>
      </w:pPr>
      <w:r>
        <w:rPr>
          <w:rFonts w:ascii="Arial" w:cs="Arial" w:eastAsia="Arial" w:hAnsi="Arial"/>
          <w:sz w:val="22"/>
          <w:szCs w:val="22"/>
        </w:rPr>
        <w:t xml:space="preserve">Modifier le zonage ou les droits d'aménagement;</w:t>
      </w:r>
    </w:p>
    <w:p>
      <w:pPr>
        <w:pStyle w:val="ListParagraph"/>
        <w:numPr>
          <w:ilvl w:val="0"/>
          <w:numId w:val="2"/>
        </w:numPr>
        <w:spacing w:after="60"/>
      </w:pPr>
      <w:r>
        <w:rPr>
          <w:rFonts w:ascii="Arial" w:cs="Arial" w:eastAsia="Arial" w:hAnsi="Arial"/>
          <w:sz w:val="22"/>
          <w:szCs w:val="22"/>
        </w:rPr>
        <w:t xml:space="preserve">Conclure tout contrat de vente, promesse de vente ou bail à long terme.</w:t>
      </w:r>
    </w:p>
    <w:p>
      <w:pPr>
        <w:keepNext/>
        <w:spacing w:after="60" w:before="180"/>
      </w:pPr>
      <w:r>
        <w:rPr>
          <w:rFonts w:ascii="Arial" w:cs="Arial" w:eastAsia="Arial" w:hAnsi="Arial"/>
          <w:b/>
          <w:bCs/>
          <w:sz w:val="22"/>
          <w:szCs w:val="22"/>
        </w:rPr>
        <w:t xml:space="preserve">4.7  Publication</w:t>
      </w:r>
    </w:p>
    <w:p>
      <w:pPr>
        <w:spacing w:after="100" w:line="280"/>
        <w:jc w:val="both"/>
      </w:pPr>
      <w:r>
        <w:rPr>
          <w:rFonts w:ascii="Arial" w:cs="Arial" w:eastAsia="Arial" w:hAnsi="Arial"/>
          <w:sz w:val="22"/>
          <w:szCs w:val="22"/>
        </w:rPr>
        <w:t xml:space="preserve">Le présent acte sera publié au registre foncier, circonscription foncière de </w:t>
      </w:r>
      <w:r>
        <w:fldChar w:fldCharType="begin">
          <w:ffData>
            <w:name w:val="Field4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aux frais de l'Emprunteur.</w:t>
      </w:r>
    </w:p>
    <w:p>
      <w:pPr>
        <w:keepNext/>
        <w:spacing w:after="120" w:before="240"/>
      </w:pPr>
      <w:r>
        <w:rPr>
          <w:rFonts w:ascii="Arial" w:cs="Arial" w:eastAsia="Arial" w:hAnsi="Arial"/>
          <w:b/>
          <w:bCs/>
          <w:sz w:val="24"/>
          <w:szCs w:val="24"/>
        </w:rPr>
        <w:t xml:space="preserve">ARTICLE 5 — DISPOSITIONS PARTICULIÈRES À LA CONSTRUCTION</w:t>
      </w:r>
    </w:p>
    <w:p>
      <w:pPr>
        <w:keepNext/>
        <w:spacing w:after="60" w:before="180"/>
      </w:pPr>
      <w:r>
        <w:rPr>
          <w:rFonts w:ascii="Arial" w:cs="Arial" w:eastAsia="Arial" w:hAnsi="Arial"/>
          <w:b/>
          <w:bCs/>
          <w:sz w:val="22"/>
          <w:szCs w:val="22"/>
        </w:rPr>
        <w:t xml:space="preserve">5.1  Conformité réglementaire et permis</w:t>
      </w:r>
    </w:p>
    <w:p>
      <w:pPr>
        <w:spacing w:after="100" w:line="280"/>
        <w:jc w:val="both"/>
      </w:pPr>
      <w:r>
        <w:rPr>
          <w:rFonts w:ascii="Arial" w:cs="Arial" w:eastAsia="Arial" w:hAnsi="Arial"/>
          <w:sz w:val="22"/>
          <w:szCs w:val="22"/>
        </w:rPr>
        <w:t xml:space="preserve">L'Emprunteur déclare et garantit que le Projet est conforme à tous les règlements municipaux, aux lois provinciales (incluant la Loi sur le bâtiment et les normes RBQ) et aux exigences de la Régie du bâtiment du Québec applicables. L'Emprunteur s'engage à maintenir tous les permis en vigueur et à fournir au Prêteur copie de toute communication officielle reçue à ce sujet.</w:t>
      </w:r>
    </w:p>
    <w:p>
      <w:pPr>
        <w:keepNext/>
        <w:spacing w:after="60" w:before="180"/>
      </w:pPr>
      <w:r>
        <w:rPr>
          <w:rFonts w:ascii="Arial" w:cs="Arial" w:eastAsia="Arial" w:hAnsi="Arial"/>
          <w:b/>
          <w:bCs/>
          <w:sz w:val="22"/>
          <w:szCs w:val="22"/>
        </w:rPr>
        <w:t xml:space="preserve">5.2  Surveillance des travaux</w:t>
      </w:r>
    </w:p>
    <w:p>
      <w:pPr>
        <w:spacing w:after="100" w:line="280"/>
        <w:jc w:val="both"/>
      </w:pPr>
      <w:r>
        <w:rPr>
          <w:rFonts w:ascii="Arial" w:cs="Arial" w:eastAsia="Arial" w:hAnsi="Arial"/>
          <w:sz w:val="22"/>
          <w:szCs w:val="22"/>
        </w:rPr>
        <w:t xml:space="preserve">Le Prêteur, ou son représentant désigné, aura le droit d'inspecter le chantier en tout temps avec préavis raisonnable de quarante-huit (48) heures, et de revoir tous les documents de chantier (factures, certificats, journal de chantier, photos, etc.). L'Emprunteur s'engage à coopérer pleinement avec ces inspections.</w:t>
      </w:r>
    </w:p>
    <w:p>
      <w:pPr>
        <w:keepNext/>
        <w:spacing w:after="60" w:before="180"/>
      </w:pPr>
      <w:r>
        <w:rPr>
          <w:rFonts w:ascii="Arial" w:cs="Arial" w:eastAsia="Arial" w:hAnsi="Arial"/>
          <w:b/>
          <w:bCs/>
          <w:sz w:val="22"/>
          <w:szCs w:val="22"/>
        </w:rPr>
        <w:t xml:space="preserve">5.3  Hypothèques légales de la construction — TOLÉRANCE ZÉRO</w:t>
      </w:r>
    </w:p>
    <w:p>
      <w:pPr>
        <w:spacing w:after="100" w:line="280"/>
        <w:jc w:val="both"/>
      </w:pPr>
      <w:r>
        <w:rPr>
          <w:rFonts w:ascii="Arial" w:cs="Arial" w:eastAsia="Arial" w:hAnsi="Arial"/>
          <w:sz w:val="22"/>
          <w:szCs w:val="22"/>
        </w:rPr>
        <w:t xml:space="preserve">L'Emprunteur s'engage strictement à payer ponctuellement tous les fournisseurs, sous-traitants, ouvriers et professionnels intervenant au Projet, de manière à prévenir tout enregistrement d'hypothèque légale de la construction (art. 2724 et 2726 C.c.Q.).</w:t>
      </w:r>
    </w:p>
    <w:p>
      <w:pPr>
        <w:spacing w:after="100" w:line="280"/>
        <w:jc w:val="both"/>
      </w:pPr>
      <w:r>
        <w:rPr>
          <w:rFonts w:ascii="Arial" w:cs="Arial" w:eastAsia="Arial" w:hAnsi="Arial"/>
          <w:b/>
          <w:bCs/>
          <w:sz w:val="22"/>
          <w:szCs w:val="22"/>
        </w:rPr>
        <w:t xml:space="preserve">AUCUNE hypothèque légale de la construction n'est tolérée. L'Emprunteur s'engage à régler ou faire radier toute hypothèque légale enregistrée immédiatement dès qu'il en est avisé, et au plus tard dans les sept (7) jours d'un avis écrit du Prêteur (ou plus tôt si la situation l'exige selon l'appréciation exclusive du Prêteur). À défaut, un Événement de Défaut sera automatiquement déclaré, et le Prêteur pourra, à son entière discrétion : (i) payer directement la créance et porter le montant au capital du Prêt avec intérêts au taux de défaut; (ii) suspendre tout déboursement futur; (iii) déclarer le Prêt immédiatement exigible et exercer tous ses recours hypothécaires.</w:t>
      </w:r>
    </w:p>
    <w:p>
      <w:pPr>
        <w:keepNext/>
        <w:spacing w:after="60" w:before="180"/>
      </w:pPr>
      <w:r>
        <w:rPr>
          <w:rFonts w:ascii="Arial" w:cs="Arial" w:eastAsia="Arial" w:hAnsi="Arial"/>
          <w:b/>
          <w:bCs/>
          <w:sz w:val="22"/>
          <w:szCs w:val="22"/>
        </w:rPr>
        <w:t xml:space="preserve">5.3.1  Taxes, charges et obligations courantes — TOLÉRANCE ZÉRO</w:t>
      </w:r>
    </w:p>
    <w:p>
      <w:pPr>
        <w:spacing w:after="100" w:line="280"/>
        <w:jc w:val="both"/>
      </w:pPr>
      <w:r>
        <w:rPr>
          <w:rFonts w:ascii="Arial" w:cs="Arial" w:eastAsia="Arial" w:hAnsi="Arial"/>
          <w:sz w:val="22"/>
          <w:szCs w:val="22"/>
        </w:rPr>
        <w:t xml:space="preserve">L'Emprunteur s'engage à payer ponctuellement à leur échéance toutes les taxes foncières, taxes scolaires, taxes d'amélioration locale, charges municipales, primes d'assurance et toutes autres obligations courantes affectant l'Immeuble.</w:t>
      </w:r>
    </w:p>
    <w:p>
      <w:pPr>
        <w:spacing w:after="100" w:line="280"/>
        <w:jc w:val="both"/>
      </w:pPr>
      <w:r>
        <w:rPr>
          <w:rFonts w:ascii="Arial" w:cs="Arial" w:eastAsia="Arial" w:hAnsi="Arial"/>
          <w:b/>
          <w:bCs/>
          <w:sz w:val="22"/>
          <w:szCs w:val="22"/>
        </w:rPr>
        <w:t xml:space="preserve">AUCUN retard n'est toléré. En cas de retard ou de défaut de paiement de l'une ou l'autre de ces obligations, l'Emprunteur s'engage à régulariser la situation immédiatement dès qu'il en est avisé, et au plus tard dans les sept (7) jours d'un avis écrit du Prêteur. À défaut, un Événement de Défaut sera automatiquement déclaré, et le Prêteur pourra : (i) payer directement la créance et porter le montant au capital du Prêt avec intérêts au taux de défaut; (ii) suspendre tout déboursement futur; (iii) déclarer le Prêt immédiatement exigible et exercer tous ses recours.</w:t>
      </w:r>
    </w:p>
    <w:p>
      <w:pPr>
        <w:keepNext/>
        <w:spacing w:after="60" w:before="180"/>
      </w:pPr>
      <w:r>
        <w:rPr>
          <w:rFonts w:ascii="Arial" w:cs="Arial" w:eastAsia="Arial" w:hAnsi="Arial"/>
          <w:b/>
          <w:bCs/>
          <w:sz w:val="22"/>
          <w:szCs w:val="22"/>
        </w:rPr>
        <w:t xml:space="preserve">5.4  Calendrier et jalons de construction</w:t>
      </w:r>
    </w:p>
    <w:p>
      <w:pPr>
        <w:spacing w:after="100" w:line="280"/>
        <w:jc w:val="both"/>
      </w:pPr>
      <w:r>
        <w:rPr>
          <w:rFonts w:ascii="Arial" w:cs="Arial" w:eastAsia="Arial" w:hAnsi="Arial"/>
          <w:sz w:val="22"/>
          <w:szCs w:val="22"/>
        </w:rPr>
        <w:t xml:space="preserve">L'Emprunteur s'engage à respecter le calendrier de réalisation du Projet annexé au présent acte (Annexe E). Tout retard de plus de soixante (60) jours sur un jalon majeur devra faire l'objet d'un avis écrit motivé au Prêteur.</w:t>
      </w:r>
    </w:p>
    <w:p>
      <w:pPr>
        <w:keepNext/>
        <w:spacing w:after="60" w:before="180"/>
      </w:pPr>
      <w:r>
        <w:rPr>
          <w:rFonts w:ascii="Arial" w:cs="Arial" w:eastAsia="Arial" w:hAnsi="Arial"/>
          <w:b/>
          <w:bCs/>
          <w:sz w:val="22"/>
          <w:szCs w:val="22"/>
        </w:rPr>
        <w:t xml:space="preserve">5.5  Modifications au Projet (change orders)</w:t>
      </w:r>
    </w:p>
    <w:p>
      <w:pPr>
        <w:spacing w:after="100" w:line="280"/>
        <w:jc w:val="both"/>
      </w:pPr>
      <w:r>
        <w:rPr>
          <w:rFonts w:ascii="Arial" w:cs="Arial" w:eastAsia="Arial" w:hAnsi="Arial"/>
          <w:sz w:val="22"/>
          <w:szCs w:val="22"/>
        </w:rPr>
        <w:t xml:space="preserve">Tout change order ou modification au Projet entraînant un dépassement de coût supérieur à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(ou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du budget total) requiert l'autorisation écrite préalable du Prêteur.</w:t>
      </w:r>
    </w:p>
    <w:p>
      <w:pPr>
        <w:keepNext/>
        <w:spacing w:after="60" w:before="180"/>
      </w:pPr>
      <w:r>
        <w:rPr>
          <w:rFonts w:ascii="Arial" w:cs="Arial" w:eastAsia="Arial" w:hAnsi="Arial"/>
          <w:b/>
          <w:bCs/>
          <w:sz w:val="22"/>
          <w:szCs w:val="22"/>
        </w:rPr>
        <w:t xml:space="preserve">5.6  Assurances de chantier</w:t>
      </w:r>
    </w:p>
    <w:p>
      <w:pPr>
        <w:spacing w:after="100" w:line="280"/>
        <w:jc w:val="both"/>
      </w:pPr>
      <w:r>
        <w:rPr>
          <w:rFonts w:ascii="Arial" w:cs="Arial" w:eastAsia="Arial" w:hAnsi="Arial"/>
          <w:sz w:val="22"/>
          <w:szCs w:val="22"/>
        </w:rPr>
        <w:t xml:space="preserve">L'Emprunteur maintiendra en vigueur, pendant toute la durée des travaux et jusqu'à la libération du holdback, les assurances suivantes, avec Capital Norvex désigné comme assuré additionnel ou bénéficiaire en cas de sinistre :</w:t>
      </w:r>
    </w:p>
    <w:p>
      <w:pPr>
        <w:pStyle w:val="ListParagraph"/>
        <w:numPr>
          <w:ilvl w:val="0"/>
          <w:numId w:val="2"/>
        </w:numPr>
        <w:spacing w:after="60"/>
      </w:pPr>
      <w:r>
        <w:rPr>
          <w:rFonts w:ascii="Arial" w:cs="Arial" w:eastAsia="Arial" w:hAnsi="Arial"/>
          <w:sz w:val="22"/>
          <w:szCs w:val="22"/>
        </w:rPr>
        <w:t xml:space="preserve">Assurance chantier tous risques (« Builder's Risk »);</w:t>
      </w:r>
    </w:p>
    <w:p>
      <w:pPr>
        <w:pStyle w:val="ListParagraph"/>
        <w:numPr>
          <w:ilvl w:val="0"/>
          <w:numId w:val="2"/>
        </w:numPr>
        <w:spacing w:after="60"/>
      </w:pPr>
      <w:r>
        <w:rPr>
          <w:rFonts w:ascii="Arial" w:cs="Arial" w:eastAsia="Arial" w:hAnsi="Arial"/>
          <w:sz w:val="22"/>
          <w:szCs w:val="22"/>
        </w:rPr>
        <w:t xml:space="preserve">Assurance responsabilité civile générale d'au moins </w:t>
      </w:r>
      <w:r>
        <w:fldChar w:fldCharType="begin">
          <w:ffData>
            <w:name w:val="Field4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Assurance responsabilité de l'entrepreneur et caution d'exécution;</w:t>
      </w:r>
    </w:p>
    <w:p>
      <w:pPr>
        <w:pStyle w:val="ListParagraph"/>
        <w:numPr>
          <w:ilvl w:val="0"/>
          <w:numId w:val="2"/>
        </w:numPr>
        <w:spacing w:after="60"/>
      </w:pPr>
      <w:r>
        <w:rPr>
          <w:rFonts w:ascii="Arial" w:cs="Arial" w:eastAsia="Arial" w:hAnsi="Arial"/>
          <w:sz w:val="22"/>
          <w:szCs w:val="22"/>
        </w:rPr>
        <w:t xml:space="preserve">Toute autre assurance requise par les autorités compétentes.</w:t>
      </w:r>
    </w:p>
    <w:p>
      <w:pPr>
        <w:keepNext/>
        <w:spacing w:after="60" w:before="180"/>
      </w:pPr>
      <w:r>
        <w:rPr>
          <w:rFonts w:ascii="Arial" w:cs="Arial" w:eastAsia="Arial" w:hAnsi="Arial"/>
          <w:b/>
          <w:bCs/>
          <w:sz w:val="22"/>
          <w:szCs w:val="22"/>
        </w:rPr>
        <w:t xml:space="preserve">5.7  Garanties de construction</w:t>
      </w:r>
    </w:p>
    <w:p>
      <w:pPr>
        <w:spacing w:after="100" w:line="280"/>
        <w:jc w:val="both"/>
      </w:pPr>
      <w:r>
        <w:rPr>
          <w:rFonts w:ascii="Arial" w:cs="Arial" w:eastAsia="Arial" w:hAnsi="Arial"/>
          <w:sz w:val="22"/>
          <w:szCs w:val="22"/>
        </w:rPr>
        <w:t xml:space="preserve">Le cas échéant (construction résidentielle), le Projet sera enregistré auprès de la Garantie de construction résidentielle (GCR) ou autre programme de garantie applicable, avec preuve d'inscription remise au Prêteur.</w:t>
      </w:r>
    </w:p>
    <w:p>
      <w:pPr>
        <w:keepNext/>
        <w:spacing w:after="120" w:before="240"/>
      </w:pPr>
      <w:r>
        <w:rPr>
          <w:rFonts w:ascii="Arial" w:cs="Arial" w:eastAsia="Arial" w:hAnsi="Arial"/>
          <w:b/>
          <w:bCs/>
          <w:sz w:val="24"/>
          <w:szCs w:val="24"/>
        </w:rPr>
        <w:t xml:space="preserve">ARTICLE 6 — ÉVÉNEMENTS DE DÉFAUT</w:t>
      </w:r>
    </w:p>
    <w:p>
      <w:pPr>
        <w:keepNext/>
        <w:spacing w:after="60" w:before="180"/>
      </w:pPr>
      <w:r>
        <w:rPr>
          <w:rFonts w:ascii="Arial" w:cs="Arial" w:eastAsia="Arial" w:hAnsi="Arial"/>
          <w:b/>
          <w:bCs/>
          <w:sz w:val="22"/>
          <w:szCs w:val="22"/>
        </w:rPr>
        <w:t xml:space="preserve">6.1  Définition</w:t>
      </w:r>
    </w:p>
    <w:p>
      <w:pPr>
        <w:spacing w:after="100" w:line="280"/>
        <w:jc w:val="both"/>
      </w:pPr>
      <w:r>
        <w:rPr>
          <w:rFonts w:ascii="Arial" w:cs="Arial" w:eastAsia="Arial" w:hAnsi="Arial"/>
          <w:sz w:val="22"/>
          <w:szCs w:val="22"/>
        </w:rPr>
        <w:t xml:space="preserve">Constituent un Événement de Défaut, sans préavis ni mise en demeure préalable autre que ceux prévus par la loi :</w:t>
      </w:r>
    </w:p>
    <w:p>
      <w:pPr>
        <w:pStyle w:val="ListParagraph"/>
        <w:numPr>
          <w:ilvl w:val="0"/>
          <w:numId w:val="2"/>
        </w:numPr>
        <w:spacing w:after="60"/>
      </w:pPr>
      <w:r>
        <w:rPr>
          <w:rFonts w:ascii="Arial" w:cs="Arial" w:eastAsia="Arial" w:hAnsi="Arial"/>
          <w:sz w:val="22"/>
          <w:szCs w:val="22"/>
        </w:rPr>
        <w:t xml:space="preserve">Tout défaut de paiement à son échéance;</w:t>
      </w:r>
    </w:p>
    <w:p>
      <w:pPr>
        <w:pStyle w:val="ListParagraph"/>
        <w:numPr>
          <w:ilvl w:val="0"/>
          <w:numId w:val="2"/>
        </w:numPr>
        <w:spacing w:after="60"/>
      </w:pPr>
      <w:r>
        <w:rPr>
          <w:rFonts w:ascii="Arial" w:cs="Arial" w:eastAsia="Arial" w:hAnsi="Arial"/>
          <w:sz w:val="22"/>
          <w:szCs w:val="22"/>
        </w:rPr>
        <w:t xml:space="preserve">Tout retard de plus de quatre-vingt-dix (90) jours sur le calendrier d'achèvement;</w:t>
      </w:r>
    </w:p>
    <w:p>
      <w:pPr>
        <w:pStyle w:val="ListParagraph"/>
        <w:numPr>
          <w:ilvl w:val="0"/>
          <w:numId w:val="2"/>
        </w:numPr>
        <w:spacing w:after="60"/>
      </w:pPr>
      <w:r>
        <w:rPr>
          <w:rFonts w:ascii="Arial" w:cs="Arial" w:eastAsia="Arial" w:hAnsi="Arial"/>
          <w:sz w:val="22"/>
          <w:szCs w:val="22"/>
        </w:rPr>
        <w:t xml:space="preserve">Toute modification matérielle au Projet sans autorisation écrite préalable du Prêteur;</w:t>
      </w:r>
    </w:p>
    <w:p>
      <w:pPr>
        <w:pStyle w:val="ListParagraph"/>
        <w:numPr>
          <w:ilvl w:val="0"/>
          <w:numId w:val="2"/>
        </w:numPr>
        <w:spacing w:after="60"/>
      </w:pPr>
      <w:r>
        <w:rPr>
          <w:rFonts w:ascii="Arial" w:cs="Arial" w:eastAsia="Arial" w:hAnsi="Arial"/>
          <w:sz w:val="22"/>
          <w:szCs w:val="22"/>
        </w:rPr>
        <w:t xml:space="preserve">L'enregistrement de toute hypothèque légale de la construction non radiée dans les sept (7) jours d'un avis du Prêteur (tolérance zéro — voir art. 5.3);</w:t>
      </w:r>
    </w:p>
    <w:p>
      <w:pPr>
        <w:pStyle w:val="ListParagraph"/>
        <w:numPr>
          <w:ilvl w:val="0"/>
          <w:numId w:val="2"/>
        </w:numPr>
        <w:spacing w:after="60"/>
      </w:pPr>
      <w:r>
        <w:rPr>
          <w:rFonts w:ascii="Arial" w:cs="Arial" w:eastAsia="Arial" w:hAnsi="Arial"/>
          <w:sz w:val="22"/>
          <w:szCs w:val="22"/>
        </w:rPr>
        <w:t xml:space="preserve">Tout retard ou défaut de paiement des taxes foncières, taxes scolaires, charges municipales, primes d'assurance ou autres obligations courantes non régularisé dans les sept (7) jours d'un avis du Prêteur (tolérance zéro — voir art. 5.3.1);</w:t>
      </w:r>
    </w:p>
    <w:p>
      <w:pPr>
        <w:pStyle w:val="ListParagraph"/>
        <w:numPr>
          <w:ilvl w:val="0"/>
          <w:numId w:val="2"/>
        </w:numPr>
        <w:spacing w:after="60"/>
      </w:pPr>
      <w:r>
        <w:rPr>
          <w:rFonts w:ascii="Arial" w:cs="Arial" w:eastAsia="Arial" w:hAnsi="Arial"/>
          <w:sz w:val="22"/>
          <w:szCs w:val="22"/>
        </w:rPr>
        <w:t xml:space="preserve">L'arrêt des travaux pour une période continue de plus de trente (30) jours sans motif acceptable au Prêteur;</w:t>
      </w:r>
    </w:p>
    <w:p>
      <w:pPr>
        <w:pStyle w:val="ListParagraph"/>
        <w:numPr>
          <w:ilvl w:val="0"/>
          <w:numId w:val="2"/>
        </w:numPr>
        <w:spacing w:after="60"/>
      </w:pPr>
      <w:r>
        <w:rPr>
          <w:rFonts w:ascii="Arial" w:cs="Arial" w:eastAsia="Arial" w:hAnsi="Arial"/>
          <w:sz w:val="22"/>
          <w:szCs w:val="22"/>
        </w:rPr>
        <w:t xml:space="preserve">Le défaut de maintenir en vigueur les assurances et permis requis;</w:t>
      </w:r>
    </w:p>
    <w:p>
      <w:pPr>
        <w:pStyle w:val="ListParagraph"/>
        <w:numPr>
          <w:ilvl w:val="0"/>
          <w:numId w:val="2"/>
        </w:numPr>
        <w:spacing w:after="60"/>
      </w:pPr>
      <w:r>
        <w:rPr>
          <w:rFonts w:ascii="Arial" w:cs="Arial" w:eastAsia="Arial" w:hAnsi="Arial"/>
          <w:sz w:val="22"/>
          <w:szCs w:val="22"/>
        </w:rPr>
        <w:t xml:space="preserve">Toute fausse déclaration substantielle de l'Emprunteur;</w:t>
      </w:r>
    </w:p>
    <w:p>
      <w:pPr>
        <w:pStyle w:val="ListParagraph"/>
        <w:numPr>
          <w:ilvl w:val="0"/>
          <w:numId w:val="2"/>
        </w:numPr>
        <w:spacing w:after="60"/>
      </w:pPr>
      <w:r>
        <w:rPr>
          <w:rFonts w:ascii="Arial" w:cs="Arial" w:eastAsia="Arial" w:hAnsi="Arial"/>
          <w:sz w:val="22"/>
          <w:szCs w:val="22"/>
        </w:rPr>
        <w:t xml:space="preserve">L'insolvabilité, la faillite ou la mise sous séquestre de l'Emprunteur;</w:t>
      </w:r>
    </w:p>
    <w:p>
      <w:pPr>
        <w:pStyle w:val="ListParagraph"/>
        <w:numPr>
          <w:ilvl w:val="0"/>
          <w:numId w:val="2"/>
        </w:numPr>
        <w:spacing w:after="60"/>
      </w:pPr>
      <w:r>
        <w:rPr>
          <w:rFonts w:ascii="Arial" w:cs="Arial" w:eastAsia="Arial" w:hAnsi="Arial"/>
          <w:sz w:val="22"/>
          <w:szCs w:val="22"/>
        </w:rPr>
        <w:t xml:space="preserve">Tout autre manquement aux engagements du présent acte non remédié dans les quinze (15) jours d'un avis du Prêteur.</w:t>
      </w:r>
    </w:p>
    <w:p>
      <w:pPr>
        <w:keepNext/>
        <w:spacing w:after="60" w:before="180"/>
      </w:pPr>
      <w:r>
        <w:rPr>
          <w:rFonts w:ascii="Arial" w:cs="Arial" w:eastAsia="Arial" w:hAnsi="Arial"/>
          <w:b/>
          <w:bCs/>
          <w:sz w:val="22"/>
          <w:szCs w:val="22"/>
        </w:rPr>
        <w:t xml:space="preserve">6.2  Recours</w:t>
      </w:r>
    </w:p>
    <w:p>
      <w:pPr>
        <w:spacing w:after="100" w:line="280"/>
        <w:jc w:val="both"/>
      </w:pPr>
      <w:r>
        <w:rPr>
          <w:rFonts w:ascii="Arial" w:cs="Arial" w:eastAsia="Arial" w:hAnsi="Arial"/>
          <w:sz w:val="22"/>
          <w:szCs w:val="22"/>
        </w:rPr>
        <w:t xml:space="preserve">Lors d'un Événement de Défaut, le Prêteur peut, à son entière discrétion : (i) suspendre tout déboursement futur; (ii) déclarer le Prêt immédiatement exigible; (iii) prendre possession du chantier et achever lui-même les travaux aux frais de l'Emprunteur; (iv) faire valoir tous les recours hypothécaires (art. 2748 et s. C.c.Q.), incluant la prise en paiement, la vente sous contrôle de justice et la vente par le créancier; (v) faire exécuter les cautionnements; (vi) cumuler les recours.</w:t>
      </w:r>
    </w:p>
    <w:p>
      <w:pPr>
        <w:keepNext/>
        <w:spacing w:after="120" w:before="240"/>
      </w:pPr>
      <w:r>
        <w:rPr>
          <w:rFonts w:ascii="Arial" w:cs="Arial" w:eastAsia="Arial" w:hAnsi="Arial"/>
          <w:b/>
          <w:bCs/>
          <w:sz w:val="24"/>
          <w:szCs w:val="24"/>
        </w:rPr>
        <w:t xml:space="preserve">ARTICLE 7 — CAUTIONNEMENT PERSONNEL (S'IL Y A LIEU)</w:t>
      </w:r>
    </w:p>
    <w:p>
      <w:pPr>
        <w:spacing w:after="100" w:line="280"/>
        <w:jc w:val="both"/>
      </w:pPr>
      <w:r>
        <w:rPr>
          <w:rFonts w:ascii="Arial" w:cs="Arial" w:eastAsia="Arial" w:hAnsi="Arial"/>
          <w:sz w:val="22"/>
          <w:szCs w:val="22"/>
        </w:rPr>
        <w:t xml:space="preserve">Le(s) Garant(s) se porte(nt) caution(s) solidaire(s) de toutes les obligations de l'Emprunteur aux présentes, sans bénéfice de discussion ni de division (art. 2333 et s. C.c.Q.). Cette caution couvre notamment les dépassements de coûts, le paiement des fournisseurs et la complétion des travaux.</w:t>
      </w:r>
    </w:p>
    <w:p>
      <w:pPr>
        <w:keepNext/>
        <w:spacing w:after="120" w:before="240"/>
      </w:pPr>
      <w:r>
        <w:rPr>
          <w:rFonts w:ascii="Arial" w:cs="Arial" w:eastAsia="Arial" w:hAnsi="Arial"/>
          <w:b/>
          <w:bCs/>
          <w:sz w:val="24"/>
          <w:szCs w:val="24"/>
        </w:rPr>
        <w:t xml:space="preserve">ARTICLE 8 — DISPOSITIONS GÉNÉRALES</w:t>
      </w:r>
    </w:p>
    <w:p>
      <w:pPr>
        <w:keepNext/>
        <w:spacing w:after="60" w:before="180"/>
      </w:pPr>
      <w:r>
        <w:rPr>
          <w:rFonts w:ascii="Arial" w:cs="Arial" w:eastAsia="Arial" w:hAnsi="Arial"/>
          <w:b/>
          <w:bCs/>
          <w:sz w:val="22"/>
          <w:szCs w:val="22"/>
        </w:rPr>
        <w:t xml:space="preserve">8.1  Droit applicable</w:t>
      </w:r>
    </w:p>
    <w:p>
      <w:pPr>
        <w:spacing w:after="100" w:line="280"/>
        <w:jc w:val="both"/>
      </w:pPr>
      <w:r>
        <w:rPr>
          <w:rFonts w:ascii="Arial" w:cs="Arial" w:eastAsia="Arial" w:hAnsi="Arial"/>
          <w:sz w:val="22"/>
          <w:szCs w:val="22"/>
        </w:rPr>
        <w:t xml:space="preserve">Les présentes sont régies par les lois du Québec. Tout litige sera soumis aux tribunaux du district de </w:t>
      </w:r>
      <w:r>
        <w:fldChar w:fldCharType="begin">
          <w:ffData>
            <w:name w:val="Field5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8.2  Langue</w:t>
      </w:r>
    </w:p>
    <w:p>
      <w:pPr>
        <w:spacing w:after="100" w:line="280"/>
        <w:jc w:val="both"/>
      </w:pPr>
      <w:r>
        <w:rPr>
          <w:rFonts w:ascii="Arial" w:cs="Arial" w:eastAsia="Arial" w:hAnsi="Arial"/>
          <w:sz w:val="22"/>
          <w:szCs w:val="22"/>
        </w:rPr>
        <w:t xml:space="preserve">Les Parties ont requis la rédaction en français. The parties have required this deed to be drafted in French.</w:t>
      </w:r>
    </w:p>
    <w:p>
      <w:pPr>
        <w:keepNext/>
        <w:spacing w:after="60" w:before="180"/>
      </w:pPr>
      <w:r>
        <w:rPr>
          <w:rFonts w:ascii="Arial" w:cs="Arial" w:eastAsia="Arial" w:hAnsi="Arial"/>
          <w:b/>
          <w:bCs/>
          <w:sz w:val="22"/>
          <w:szCs w:val="22"/>
        </w:rPr>
        <w:t xml:space="preserve">8.3  Notifications</w:t>
      </w:r>
    </w:p>
    <w:p>
      <w:pPr>
        <w:spacing w:after="100" w:line="280"/>
        <w:jc w:val="both"/>
      </w:pPr>
      <w:r>
        <w:rPr>
          <w:rFonts w:ascii="Arial" w:cs="Arial" w:eastAsia="Arial" w:hAnsi="Arial"/>
          <w:sz w:val="22"/>
          <w:szCs w:val="22"/>
        </w:rPr>
        <w:t xml:space="preserve">Tout avis sera transmis par courrier recommandé, courriel (avec confirmation de lecture) ou remise en mains propres aux adresses indiquées en tête des présentes.</w:t>
      </w:r>
    </w:p>
    <w:p>
      <w:pPr>
        <w:keepNext/>
        <w:spacing w:after="60" w:before="180"/>
      </w:pPr>
      <w:r>
        <w:rPr>
          <w:rFonts w:ascii="Arial" w:cs="Arial" w:eastAsia="Arial" w:hAnsi="Arial"/>
          <w:b/>
          <w:bCs/>
          <w:sz w:val="22"/>
          <w:szCs w:val="22"/>
        </w:rPr>
        <w:t xml:space="preserve">8.4  Frais</w:t>
      </w:r>
    </w:p>
    <w:p>
      <w:pPr>
        <w:spacing w:after="100" w:line="280"/>
        <w:jc w:val="both"/>
      </w:pPr>
      <w:r>
        <w:rPr>
          <w:rFonts w:ascii="Arial" w:cs="Arial" w:eastAsia="Arial" w:hAnsi="Arial"/>
          <w:sz w:val="22"/>
          <w:szCs w:val="22"/>
        </w:rPr>
        <w:t xml:space="preserve">Tous les frais (honoraires notariaux, publication, évaluation, inspection, étude de sol, primes d'assurance, honoraires d'avocats en cas de défaut) sont à la charge exclusive de l'Emprunteur.</w:t>
      </w:r>
    </w:p>
    <w:p>
      <w:pPr>
        <w:keepNext/>
        <w:spacing w:after="60" w:before="180"/>
      </w:pPr>
      <w:r>
        <w:rPr>
          <w:rFonts w:ascii="Arial" w:cs="Arial" w:eastAsia="Arial" w:hAnsi="Arial"/>
          <w:b/>
          <w:bCs/>
          <w:sz w:val="22"/>
          <w:szCs w:val="22"/>
        </w:rPr>
        <w:t xml:space="preserve">8.5  CANAFE / LRPCFAT</w:t>
      </w:r>
    </w:p>
    <w:p>
      <w:pPr>
        <w:spacing w:after="100" w:line="280"/>
        <w:jc w:val="both"/>
      </w:pPr>
      <w:r>
        <w:rPr>
          <w:rFonts w:ascii="Arial" w:cs="Arial" w:eastAsia="Arial" w:hAnsi="Arial"/>
          <w:sz w:val="22"/>
          <w:szCs w:val="22"/>
        </w:rPr>
        <w:t xml:space="preserve">Le Prêteur a procédé à la vérification d'identité, à la vérification de la source des fonds et aux contrôles requis conformément à la Loi sur le recyclage des produits de la criminalité et le financement des activités terroristes (LRPCFAT).</w:t>
      </w:r>
    </w:p>
    <w:p>
      <w:pPr>
        <w:keepNext/>
        <w:spacing w:after="60" w:before="180"/>
      </w:pPr>
      <w:r>
        <w:rPr>
          <w:rFonts w:ascii="Arial" w:cs="Arial" w:eastAsia="Arial" w:hAnsi="Arial"/>
          <w:b/>
          <w:bCs/>
          <w:sz w:val="22"/>
          <w:szCs w:val="22"/>
        </w:rPr>
        <w:t xml:space="preserve">8.6  Intégralité</w:t>
      </w:r>
    </w:p>
    <w:p>
      <w:pPr>
        <w:spacing w:after="100" w:line="280"/>
        <w:jc w:val="both"/>
      </w:pPr>
      <w:r>
        <w:rPr>
          <w:rFonts w:ascii="Arial" w:cs="Arial" w:eastAsia="Arial" w:hAnsi="Arial"/>
          <w:sz w:val="22"/>
          <w:szCs w:val="22"/>
        </w:rPr>
        <w:t xml:space="preserve">Le présent acte, avec ses annexes et la Convention de prêt visée à l'article 8.7, constitue l'intégralité de l'entente entre les Parties relativement au Prêt et remplace toute entente antérieure verbale ou écrite.</w:t>
      </w:r>
    </w:p>
    <w:p>
      <w:pPr>
        <w:keepNext/>
        <w:spacing w:after="60" w:before="180"/>
      </w:pPr>
      <w:r>
        <w:rPr>
          <w:rFonts w:ascii="Arial" w:cs="Arial" w:eastAsia="Arial" w:hAnsi="Arial"/>
          <w:b/>
          <w:bCs/>
          <w:sz w:val="22"/>
          <w:szCs w:val="22"/>
        </w:rPr>
        <w:t xml:space="preserve">8.7  Indissociabilité avec la Convention de prêt — CLAUSE FONDAMENTALE</w:t>
      </w:r>
    </w:p>
    <w:p>
      <w:pPr>
        <w:spacing w:after="100" w:line="280"/>
        <w:jc w:val="both"/>
      </w:pPr>
      <w:r>
        <w:rPr>
          <w:rFonts w:ascii="Arial" w:cs="Arial" w:eastAsia="Arial" w:hAnsi="Arial"/>
          <w:b/>
          <w:bCs/>
          <w:sz w:val="22"/>
          <w:szCs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keepNext/>
        <w:spacing w:after="120" w:before="240"/>
      </w:pPr>
      <w:r>
        <w:rPr>
          <w:rFonts w:ascii="Arial" w:cs="Arial" w:eastAsia="Arial" w:hAnsi="Arial"/>
          <w:b/>
          <w:bCs/>
          <w:sz w:val="24"/>
          <w:szCs w:val="24"/>
        </w:rPr>
        <w:t xml:space="preserve">ANNEXES</w:t>
      </w:r>
    </w:p>
    <w:p>
      <w:pPr>
        <w:pStyle w:val="ListParagraph"/>
        <w:numPr>
          <w:ilvl w:val="0"/>
          <w:numId w:val="2"/>
        </w:numPr>
        <w:spacing w:after="60"/>
      </w:pPr>
      <w:r>
        <w:rPr>
          <w:rFonts w:ascii="Arial" w:cs="Arial" w:eastAsia="Arial" w:hAnsi="Arial"/>
          <w:sz w:val="22"/>
          <w:szCs w:val="22"/>
        </w:rPr>
        <w:t xml:space="preserve">Annexe A — Description complète du Projet (plans et devis sommaires)</w:t>
      </w:r>
    </w:p>
    <w:p>
      <w:pPr>
        <w:pStyle w:val="ListParagraph"/>
        <w:numPr>
          <w:ilvl w:val="0"/>
          <w:numId w:val="2"/>
        </w:numPr>
        <w:spacing w:after="60"/>
      </w:pPr>
      <w:r>
        <w:rPr>
          <w:rFonts w:ascii="Arial" w:cs="Arial" w:eastAsia="Arial" w:hAnsi="Arial"/>
          <w:sz w:val="22"/>
          <w:szCs w:val="22"/>
        </w:rPr>
        <w:t xml:space="preserve">Annexe B — Budget détaillé de construction et soumissions</w:t>
      </w:r>
    </w:p>
    <w:p>
      <w:pPr>
        <w:pStyle w:val="ListParagraph"/>
        <w:numPr>
          <w:ilvl w:val="0"/>
          <w:numId w:val="2"/>
        </w:numPr>
        <w:spacing w:after="60"/>
      </w:pPr>
      <w:r>
        <w:rPr>
          <w:rFonts w:ascii="Arial" w:cs="Arial" w:eastAsia="Arial" w:hAnsi="Arial"/>
          <w:sz w:val="22"/>
          <w:szCs w:val="22"/>
        </w:rPr>
        <w:t xml:space="preserve">Annexe C — Évaluation agréée AACI (au coût et à la valeur stabilisée)</w:t>
      </w:r>
    </w:p>
    <w:p>
      <w:pPr>
        <w:pStyle w:val="ListParagraph"/>
        <w:numPr>
          <w:ilvl w:val="0"/>
          <w:numId w:val="2"/>
        </w:numPr>
        <w:spacing w:after="60"/>
      </w:pPr>
      <w:r>
        <w:rPr>
          <w:rFonts w:ascii="Arial" w:cs="Arial" w:eastAsia="Arial" w:hAnsi="Arial"/>
          <w:sz w:val="22"/>
          <w:szCs w:val="22"/>
        </w:rPr>
        <w:t xml:space="preserve">Annexe D — Étude de sol / évaluation environnementale Phase I</w:t>
      </w:r>
    </w:p>
    <w:p>
      <w:pPr>
        <w:pStyle w:val="ListParagraph"/>
        <w:numPr>
          <w:ilvl w:val="0"/>
          <w:numId w:val="2"/>
        </w:numPr>
        <w:spacing w:after="60"/>
      </w:pPr>
      <w:r>
        <w:rPr>
          <w:rFonts w:ascii="Arial" w:cs="Arial" w:eastAsia="Arial" w:hAnsi="Arial"/>
          <w:sz w:val="22"/>
          <w:szCs w:val="22"/>
        </w:rPr>
        <w:t xml:space="preserve">Annexe E — Calendrier de réalisation et jalons de construction</w:t>
      </w:r>
    </w:p>
    <w:p>
      <w:pPr>
        <w:pStyle w:val="ListParagraph"/>
        <w:numPr>
          <w:ilvl w:val="0"/>
          <w:numId w:val="2"/>
        </w:numPr>
        <w:spacing w:after="60"/>
      </w:pPr>
      <w:r>
        <w:rPr>
          <w:rFonts w:ascii="Arial" w:cs="Arial" w:eastAsia="Arial" w:hAnsi="Arial"/>
          <w:sz w:val="22"/>
          <w:szCs w:val="22"/>
        </w:rPr>
        <w:t xml:space="preserve">Annexe F — Permis de construction et autorisations municipales</w:t>
      </w:r>
    </w:p>
    <w:p>
      <w:pPr>
        <w:pStyle w:val="ListParagraph"/>
        <w:numPr>
          <w:ilvl w:val="0"/>
          <w:numId w:val="2"/>
        </w:numPr>
        <w:spacing w:after="60"/>
      </w:pPr>
      <w:r>
        <w:rPr>
          <w:rFonts w:ascii="Arial" w:cs="Arial" w:eastAsia="Arial" w:hAnsi="Arial"/>
          <w:sz w:val="22"/>
          <w:szCs w:val="22"/>
        </w:rPr>
        <w:t xml:space="preserve">Annexe G — Polices d'assurance chantier et responsabilité</w:t>
      </w:r>
    </w:p>
    <w:p>
      <w:pPr>
        <w:pStyle w:val="ListParagraph"/>
        <w:numPr>
          <w:ilvl w:val="0"/>
          <w:numId w:val="2"/>
        </w:numPr>
        <w:spacing w:after="60"/>
      </w:pPr>
      <w:r>
        <w:rPr>
          <w:rFonts w:ascii="Arial" w:cs="Arial" w:eastAsia="Arial" w:hAnsi="Arial"/>
          <w:sz w:val="22"/>
          <w:szCs w:val="22"/>
        </w:rPr>
        <w:t xml:space="preserve">Annexe H — Cautionnement d'exécution et garanties (GCR / RBQ le cas échéant)</w:t>
      </w:r>
    </w:p>
    <w:p>
      <w:pPr>
        <w:pStyle w:val="ListParagraph"/>
        <w:numPr>
          <w:ilvl w:val="0"/>
          <w:numId w:val="2"/>
        </w:numPr>
        <w:spacing w:after="60"/>
      </w:pPr>
      <w:r>
        <w:rPr>
          <w:rFonts w:ascii="Arial" w:cs="Arial" w:eastAsia="Arial" w:hAnsi="Arial"/>
          <w:sz w:val="22"/>
          <w:szCs w:val="22"/>
        </w:rPr>
        <w:t xml:space="preserve">Annexe I — Cautionnement personnel des Garants (le cas échéant)</w:t>
      </w:r>
    </w:p>
    <w:p>
      <w:pPr>
        <w:pStyle w:val="ListParagraph"/>
        <w:numPr>
          <w:ilvl w:val="0"/>
          <w:numId w:val="2"/>
        </w:numPr>
        <w:spacing w:after="60"/>
      </w:pPr>
      <w:r>
        <w:rPr>
          <w:rFonts w:ascii="Arial" w:cs="Arial" w:eastAsia="Arial" w:hAnsi="Arial"/>
          <w:sz w:val="22"/>
          <w:szCs w:val="22"/>
        </w:rPr>
        <w:t xml:space="preserve">Annexe J — Résolution corporative de Capital Norvex Inc. désignant le mandataire signataire</w:t>
      </w:r>
    </w:p>
    <w:p>
      <w:pPr>
        <w:keepNext/>
        <w:spacing w:after="120" w:before="240"/>
      </w:pPr>
      <w:r>
        <w:rPr>
          <w:rFonts w:ascii="Arial" w:cs="Arial" w:eastAsia="Arial" w:hAnsi="Arial"/>
          <w:b/>
          <w:bCs/>
          <w:sz w:val="24"/>
          <w:szCs w:val="24"/>
        </w:rPr>
        <w:t xml:space="preserve">SIGNATURES ET ATTESTATION NOTARIALE</w:t>
      </w:r>
    </w:p>
    <w:p>
      <w:pPr>
        <w:spacing w:after="100" w:line="280"/>
        <w:jc w:val="both"/>
      </w:pPr>
      <w:r>
        <w:rPr>
          <w:rFonts w:ascii="Arial" w:cs="Arial" w:eastAsia="Arial" w:hAnsi="Arial"/>
          <w:sz w:val="22"/>
          <w:szCs w:val="22"/>
        </w:rPr>
        <w:t xml:space="preserve">EN FOI DE QUOI, les Parties ont signé à </w:t>
      </w:r>
      <w:r>
        <w:fldChar w:fldCharType="begin">
          <w:ffData>
            <w:name w:val="Field5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le </w:t>
      </w:r>
      <w:r>
        <w:fldChar w:fldCharType="begin">
          <w:ffData>
            <w:name w:val="Field5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jour de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r>
        <w:fldChar w:fldCharType="begin">
          <w:ffData>
            <w:name w:val="Field5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40" w:before="200"/>
      </w:pPr>
      <w:r>
        <w:fldChar w:fldCharType="begin">
          <w:ffData>
            <w:name w:val="Field55"/>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Le Prêteur</w:t>
      </w:r>
    </w:p>
    <w:p>
      <w:pPr>
        <w:spacing w:after="40"/>
      </w:pPr>
      <w:r>
        <w:rPr>
          <w:rFonts w:ascii="Arial" w:cs="Arial" w:eastAsia="Arial" w:hAnsi="Arial"/>
          <w:sz w:val="22"/>
          <w:szCs w:val="22"/>
        </w:rPr>
        <w:t xml:space="preserve">Par : </w:t>
      </w:r>
      <w:r>
        <w:fldChar w:fldCharType="begin">
          <w:ffData>
            <w:name w:val="Field5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(mandataire désigné)</w:t>
      </w:r>
    </w:p>
    <w:p>
      <w:pPr>
        <w:spacing w:after="40"/>
      </w:pPr>
      <w:r>
        <w:rPr>
          <w:rFonts w:ascii="Arial" w:cs="Arial" w:eastAsia="Arial" w:hAnsi="Arial"/>
          <w:sz w:val="22"/>
          <w:szCs w:val="22"/>
        </w:rPr>
        <w:t xml:space="preserve">Titre : </w:t>
      </w:r>
      <w:r>
        <w:fldChar w:fldCharType="begin">
          <w:ffData>
            <w:name w:val="Field57"/>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En vertu de la Résolution corporative en date du : </w:t>
      </w:r>
      <w:r>
        <w:fldChar w:fldCharType="begin">
          <w:ffData>
            <w:name w:val="Field58"/>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Signée par : Madame Suzanne Breton, présidente et actionnaire unique</w:t>
      </w:r>
    </w:p>
    <w:p>
      <w:pPr>
        <w:spacing w:after="40"/>
      </w:pPr>
      <w:r>
        <w:rPr>
          <w:rFonts w:ascii="Arial" w:cs="Arial" w:eastAsia="Arial" w:hAnsi="Arial"/>
          <w:sz w:val="22"/>
          <w:szCs w:val="22"/>
        </w:rPr>
        <w:t xml:space="preserve">(Annexe J)</w:t>
      </w:r>
    </w:p>
    <w:p>
      <w:pPr>
        <w:spacing w:after="40" w:before="200"/>
      </w:pPr>
      <w:r>
        <w:fldChar w:fldCharType="begin">
          <w:ffData>
            <w:name w:val="Field59"/>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L'EMPRUNTEUR</w:t>
      </w:r>
    </w:p>
    <w:p>
      <w:pPr>
        <w:spacing w:after="40"/>
      </w:pPr>
      <w:r>
        <w:fldChar w:fldCharType="begin">
          <w:ffData>
            <w:name w:val="Field60"/>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Par : </w:t>
      </w:r>
      <w:r>
        <w:fldChar w:fldCharType="begin">
          <w:ffData>
            <w:name w:val="Field61"/>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Titre : </w:t>
      </w:r>
      <w:r>
        <w:fldChar w:fldCharType="begin">
          <w:ffData>
            <w:name w:val="Field62"/>
            <w:enabled/>
            <w:calcOnExit w:val="0"/>
            <w:textInput/>
          </w:ffData>
        </w:fldChar>
      </w:r>
      <w:r>
        <w:instrText xml:space="preserve"> FORMTEXT </w:instrText>
      </w:r>
      <w:r>
        <w:fldChar w:fldCharType="separate"/>
      </w:r>
      <w:r>
        <w:t xml:space="preserve">_________________</w:t>
      </w:r>
      <w:r>
        <w:fldChar w:fldCharType="end"/>
      </w:r>
    </w:p>
    <w:p>
      <w:pPr>
        <w:spacing w:after="40" w:before="200"/>
      </w:pPr>
      <w:r>
        <w:fldChar w:fldCharType="begin">
          <w:ffData>
            <w:name w:val="Field63"/>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LE GARANT (s'il y a lieu)</w:t>
      </w:r>
    </w:p>
    <w:p>
      <w:pPr>
        <w:spacing w:after="40"/>
      </w:pPr>
      <w:r>
        <w:fldChar w:fldCharType="begin">
          <w:ffData>
            <w:name w:val="Field64"/>
            <w:enabled/>
            <w:calcOnExit w:val="0"/>
            <w:textInput/>
          </w:ffData>
        </w:fldChar>
      </w:r>
      <w:r>
        <w:instrText xml:space="preserve"> FORMTEXT </w:instrText>
      </w:r>
      <w:r>
        <w:fldChar w:fldCharType="separate"/>
      </w:r>
      <w:r>
        <w:t xml:space="preserve">_________________</w:t>
      </w:r>
      <w:r>
        <w:fldChar w:fldCharType="end"/>
      </w:r>
    </w:p>
    <w:p>
      <w:pPr>
        <w:keepNext/>
        <w:spacing w:after="120" w:before="240"/>
      </w:pPr>
      <w:r>
        <w:rPr>
          <w:rFonts w:ascii="Arial" w:cs="Arial" w:eastAsia="Arial" w:hAnsi="Arial"/>
          <w:b/>
          <w:bCs/>
          <w:sz w:val="24"/>
          <w:szCs w:val="24"/>
        </w:rPr>
        <w:t xml:space="preserve">ATTESTATION DU NOTAIRE INSTRUMENTANT</w:t>
      </w:r>
    </w:p>
    <w:p>
      <w:pPr>
        <w:spacing w:after="100" w:line="280"/>
        <w:jc w:val="both"/>
      </w:pPr>
      <w:r>
        <w:rPr>
          <w:rFonts w:ascii="Arial" w:cs="Arial" w:eastAsia="Arial" w:hAnsi="Arial"/>
          <w:sz w:val="22"/>
          <w:szCs w:val="22"/>
        </w:rPr>
        <w:t xml:space="preserve">JE SOUSSIGNÉ(E), </w:t>
      </w:r>
      <w:r>
        <w:fldChar w:fldCharType="begin">
          <w:ffData>
            <w:name w:val="Field6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notaire pratiquant au Québec, certifie avoir reçu le présent acte en minute, vérifié l'identité et la capacité des parties, et leur avoir donné lecture, lesquelles ont approuvé et signé en ma présence.</w:t>
      </w:r>
    </w:p>
    <w:p>
      <w:pPr>
        <w:spacing w:after="40" w:before="200"/>
      </w:pPr>
      <w:r>
        <w:fldChar w:fldCharType="begin">
          <w:ffData>
            <w:name w:val="Field66"/>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fldChar w:fldCharType="begin">
          <w:ffData>
            <w:name w:val="Field67"/>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Notaire instrumentant</w:t>
      </w:r>
    </w:p>
    <w:p>
      <w:pPr>
        <w:spacing w:after="40"/>
      </w:pPr>
      <w:r>
        <w:rPr>
          <w:rFonts w:ascii="Arial" w:cs="Arial" w:eastAsia="Arial" w:hAnsi="Arial"/>
          <w:sz w:val="22"/>
          <w:szCs w:val="22"/>
        </w:rPr>
        <w:t xml:space="preserve">No. de dossier notarial : </w:t>
      </w:r>
      <w:r>
        <w:fldChar w:fldCharType="begin">
          <w:ffData>
            <w:name w:val="Field68"/>
            <w:enabled/>
            <w:calcOnExit w:val="0"/>
            <w:textInput/>
          </w:ffData>
        </w:fldChar>
      </w:r>
      <w:r>
        <w:instrText xml:space="preserve"> FORMTEXT </w:instrText>
      </w:r>
      <w:r>
        <w:fldChar w:fldCharType="separate"/>
      </w:r>
      <w:r>
        <w:t xml:space="preserve">_________________</w:t>
      </w:r>
      <w:r>
        <w:fldChar w:fldCharType="end"/>
      </w:r>
    </w:p>
    <w:p>
      <w:pPr>
        <w:spacing w:after="100" w:before="400"/>
      </w:pPr>
    </w:p>
    <w:p>
      <w:pPr>
        <w:spacing w:after="60" w:before="60"/>
        <w:jc w:val="center"/>
      </w:pPr>
      <w:r>
        <w:rPr>
          <w:rFonts w:ascii="Arial" w:cs="Arial" w:eastAsia="Arial" w:hAnsi="Arial"/>
          <w:i/>
          <w:iCs/>
          <w:color w:val="808080"/>
          <w:sz w:val="18"/>
          <w:szCs w:val="18"/>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ACTE D'HYPOTHÈQUE IMMOBILIÈRE — CONSTRUCTION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Acte d'hypothèque immobilière — CONSTRUCTION</dc:title>
  <dc:creator>Capital Norvex Inc.</dc:creator>
  <dc:description>Modèle juridique pour notaire instrumentant</dc:description>
  <cp:lastModifiedBy>Un-named</cp:lastModifiedBy>
  <cp:revision>1</cp:revision>
  <dcterms:created xsi:type="dcterms:W3CDTF">2026-05-03T16:14:14.390Z</dcterms:created>
  <dcterms:modified xsi:type="dcterms:W3CDTF">2026-05-03T16:14:14.394Z</dcterms:modified>
</cp:coreProperties>
</file>

<file path=docProps/custom.xml><?xml version="1.0" encoding="utf-8"?>
<Properties xmlns="http://schemas.openxmlformats.org/officeDocument/2006/custom-properties" xmlns:vt="http://schemas.openxmlformats.org/officeDocument/2006/docPropsVTypes"/>
</file>