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OF QUÉBEC</w:t>
      </w:r>
    </w:p>
    <w:p>
      <w:pPr>
        <w:spacing w:after="100" w:line="280"/>
        <w:jc w:val="center"/>
      </w:pPr>
      <w:r>
        <w:rPr>
          <w:rFonts w:ascii="Arial" w:cs="Arial" w:eastAsia="Arial" w:hAnsi="Arial"/>
          <w:sz w:val="22"/>
          <w:szCs w:val="22"/>
        </w:rPr>
        <w:t xml:space="preserve">JUDICIAL DISTRICT OF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200"/>
      </w:pPr>
    </w:p>
    <w:p>
      <w:pPr>
        <w:spacing w:after="60" w:before="120"/>
        <w:jc w:val="center"/>
      </w:pPr>
      <w:r>
        <w:rPr>
          <w:rFonts w:ascii="Arial" w:cs="Arial" w:eastAsia="Arial" w:hAnsi="Arial"/>
          <w:b/>
          <w:bCs/>
          <w:sz w:val="28"/>
          <w:szCs w:val="28"/>
        </w:rPr>
        <w:t xml:space="preserve">REAL ESTATE MORTGAGE DEED</w:t>
      </w:r>
    </w:p>
    <w:p>
      <w:pPr>
        <w:spacing w:after="60" w:before="60"/>
        <w:jc w:val="center"/>
      </w:pPr>
      <w:r>
        <w:rPr>
          <w:rFonts w:ascii="Arial" w:cs="Arial" w:eastAsia="Arial" w:hAnsi="Arial"/>
          <w:b/>
          <w:bCs/>
          <w:sz w:val="24"/>
          <w:szCs w:val="24"/>
        </w:rPr>
        <w:t xml:space="preserve">CONSTRUCTION PROJECT</w:t>
      </w:r>
    </w:p>
    <w:p>
      <w:pPr>
        <w:spacing w:after="100" w:line="280"/>
        <w:jc w:val="center"/>
      </w:pPr>
      <w:r>
        <w:rPr>
          <w:rFonts w:ascii="Arial" w:cs="Arial" w:eastAsia="Arial" w:hAnsi="Arial"/>
          <w:i/>
          <w:iCs/>
          <w:sz w:val="22"/>
          <w:szCs w:val="22"/>
        </w:rPr>
        <w:t xml:space="preserve">(Civil Code of Québec, art. 2660 et seq.)</w:t>
      </w:r>
    </w:p>
    <w:p>
      <w:pPr>
        <w:spacing w:after="200"/>
      </w:pPr>
    </w:p>
    <w:p>
      <w:pPr>
        <w:keepNext/>
        <w:spacing w:after="120" w:before="240"/>
      </w:pPr>
      <w:r>
        <w:rPr>
          <w:rFonts w:ascii="Arial" w:cs="Arial" w:eastAsia="Arial" w:hAnsi="Arial"/>
          <w:b/>
          <w:bCs/>
          <w:sz w:val="24"/>
          <w:szCs w:val="24"/>
        </w:rPr>
        <w:t xml:space="preserve">IDENTIFICATION OF THE PARTIES</w:t>
      </w:r>
    </w:p>
    <w:p>
      <w:pPr>
        <w:keepNext/>
        <w:spacing w:after="60" w:before="180"/>
      </w:pPr>
      <w:r>
        <w:rPr>
          <w:rFonts w:ascii="Arial" w:cs="Arial" w:eastAsia="Arial" w:hAnsi="Arial"/>
          <w:b/>
          <w:bCs/>
          <w:sz w:val="22"/>
          <w:szCs w:val="22"/>
        </w:rPr>
        <w:t xml:space="preserve">MORTGAGE CREDITOR:</w:t>
      </w:r>
    </w:p>
    <w:p>
      <w:pPr>
        <w:spacing w:after="100" w:line="280"/>
        <w:jc w:val="both"/>
      </w:pPr>
      <w:r>
        <w:rPr>
          <w:rFonts w:ascii="Arial" w:cs="Arial" w:eastAsia="Arial" w:hAnsi="Arial"/>
          <w:sz w:val="22"/>
          <w:szCs w:val="22"/>
        </w:rPr>
        <w:t xml:space="preserve">CAPITAL NORVEX INC., a legal person duly constituted under the laws of the Province of Québec, having its head office at 2705-1000 André-Prévost Street, Verdun, Montréal, Québec H3E 0G2, hereinafter referred to as "Capital Norvex" or the "Lender";</w:t>
      </w:r>
    </w:p>
    <w:p>
      <w:pPr>
        <w:spacing w:after="100" w:line="280"/>
        <w:jc w:val="both"/>
      </w:pPr>
      <w:r>
        <w:rPr>
          <w:rFonts w:ascii="Arial" w:cs="Arial" w:eastAsia="Arial" w:hAnsi="Arial"/>
          <w:sz w:val="22"/>
          <w:szCs w:val="22"/>
        </w:rPr>
        <w:t xml:space="preserve">Represented for the purposes hereof by:</w:t>
      </w:r>
    </w:p>
    <w:p>
      <w:pPr>
        <w:spacing w:after="100" w:line="280"/>
        <w:jc w:val="both"/>
      </w:pPr>
      <w:r>
        <w:rPr>
          <w:rFonts w:ascii="Arial" w:cs="Arial" w:eastAsia="Arial" w:hAnsi="Arial"/>
          <w:sz w:val="22"/>
          <w:szCs w:val="22"/>
        </w:rPr>
        <w:t xml:space="preserve">Name of designated representative: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Title / Capacity: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Duly authorized to sign for and on behalf of Capital Norvex Inc. pursuant to a corporate resolution adopted by the sole shareholder and president, Mrs. Suzanne Breton, dated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(the &amp;quot;Resolution&amp;quot;), a certified copy of which is attached hereto as Schedule J.</w:t>
      </w:r>
    </w:p>
    <w:p>
      <w:pPr>
        <w:keepNext/>
        <w:spacing w:after="60" w:before="180"/>
      </w:pPr>
      <w:r>
        <w:rPr>
          <w:rFonts w:ascii="Arial" w:cs="Arial" w:eastAsia="Arial" w:hAnsi="Arial"/>
          <w:b/>
          <w:bCs/>
          <w:sz w:val="22"/>
          <w:szCs w:val="22"/>
        </w:rPr>
        <w:t xml:space="preserve">MORTGAGE DEBTOR:</w:t>
      </w:r>
    </w:p>
    <w:p>
      <w:pPr>
        <w:spacing w:after="100" w:line="28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a legal person registered with the Quebec Enterprise Register under number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having its head office at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represented by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in the capacity of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hereinafter referred to as the &amp;quot;Borrower&amp;quot;;</w:t>
      </w:r>
    </w:p>
    <w:p>
      <w:pPr>
        <w:keepNext/>
        <w:spacing w:after="60" w:before="180"/>
      </w:pPr>
      <w:r>
        <w:rPr>
          <w:rFonts w:ascii="Arial" w:cs="Arial" w:eastAsia="Arial" w:hAnsi="Arial"/>
          <w:b/>
          <w:bCs/>
          <w:sz w:val="22"/>
          <w:szCs w:val="22"/>
        </w:rPr>
        <w:t xml:space="preserve">GUARANTOR(S) (if applicable):</w:t>
      </w:r>
    </w:p>
    <w:p>
      <w:pPr>
        <w:spacing w:after="100" w:line="28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hereinafter referred to as the &amp;quot;Guarantor&amp;quot;.</w:t>
      </w:r>
    </w:p>
    <w:p>
      <w:pPr>
        <w:keepNext/>
        <w:spacing w:after="120" w:before="240"/>
      </w:pPr>
      <w:r>
        <w:rPr>
          <w:rFonts w:ascii="Arial" w:cs="Arial" w:eastAsia="Arial" w:hAnsi="Arial"/>
          <w:b/>
          <w:bCs/>
          <w:sz w:val="24"/>
          <w:szCs w:val="24"/>
        </w:rPr>
        <w:t xml:space="preserve">PRELIMINARY RECITALS</w:t>
      </w:r>
    </w:p>
    <w:p>
      <w:pPr>
        <w:spacing w:after="100" w:line="280"/>
        <w:jc w:val="both"/>
      </w:pPr>
      <w:r>
        <w:rPr>
          <w:rFonts w:ascii="Arial" w:cs="Arial" w:eastAsia="Arial" w:hAnsi="Arial"/>
          <w:sz w:val="22"/>
          <w:szCs w:val="22"/>
        </w:rPr>
        <w:t xml:space="preserve">WHEREAS the Borrower is the owner of, or is about to acquire, the immovable described herein (the "Property") on which it intends to undertake a construction project (the "Project");</w:t>
      </w:r>
    </w:p>
    <w:p>
      <w:pPr>
        <w:spacing w:after="100" w:line="280"/>
        <w:jc w:val="both"/>
      </w:pPr>
      <w:r>
        <w:rPr>
          <w:rFonts w:ascii="Arial" w:cs="Arial" w:eastAsia="Arial" w:hAnsi="Arial"/>
          <w:sz w:val="22"/>
          <w:szCs w:val="22"/>
        </w:rPr>
        <w:t xml:space="preserve">WHEREAS the Borrower has submitted to the Lender a construction budget, a project schedule, plans and specifications, as well as bids from one or more general contractors;</w:t>
      </w:r>
    </w:p>
    <w:p>
      <w:pPr>
        <w:spacing w:after="100" w:line="280"/>
        <w:jc w:val="both"/>
      </w:pPr>
      <w:r>
        <w:rPr>
          <w:rFonts w:ascii="Arial" w:cs="Arial" w:eastAsia="Arial" w:hAnsi="Arial"/>
          <w:sz w:val="22"/>
          <w:szCs w:val="22"/>
        </w:rPr>
        <w:t xml:space="preserve">WHEREAS the Borrower wishes to obtain from the Lender a construction mortgage loan to finance the realization of the Project;</w:t>
      </w:r>
    </w:p>
    <w:p>
      <w:pPr>
        <w:spacing w:after="100" w:line="280"/>
        <w:jc w:val="both"/>
      </w:pPr>
      <w:r>
        <w:rPr>
          <w:rFonts w:ascii="Arial" w:cs="Arial" w:eastAsia="Arial" w:hAnsi="Arial"/>
          <w:sz w:val="22"/>
          <w:szCs w:val="22"/>
        </w:rPr>
        <w:t xml:space="preserve">WHEREAS the Lender agrees to grant such loan under the terms set forth below, including progressive disbursement of funds based on construction progress and a holdback;</w:t>
      </w:r>
    </w:p>
    <w:p>
      <w:pPr>
        <w:spacing w:after="100" w:line="280"/>
        <w:jc w:val="both"/>
      </w:pPr>
      <w:r>
        <w:rPr>
          <w:rFonts w:ascii="Arial" w:cs="Arial" w:eastAsia="Arial" w:hAnsi="Arial"/>
          <w:sz w:val="22"/>
          <w:szCs w:val="22"/>
        </w:rPr>
        <w:t xml:space="preserve">IN CONSIDERATION of these premises, the Parties agree as follows:</w:t>
      </w:r>
    </w:p>
    <w:p>
      <w:pPr>
        <w:keepNext/>
        <w:spacing w:after="120" w:before="240"/>
      </w:pPr>
      <w:r>
        <w:rPr>
          <w:rFonts w:ascii="Arial" w:cs="Arial" w:eastAsia="Arial" w:hAnsi="Arial"/>
          <w:b/>
          <w:bCs/>
          <w:sz w:val="24"/>
          <w:szCs w:val="24"/>
        </w:rPr>
        <w:t xml:space="preserve">ARTICLE 1 — CONSTRUCTION MORTGAGE LOAN</w:t>
      </w:r>
    </w:p>
    <w:p>
      <w:pPr>
        <w:keepNext/>
        <w:spacing w:after="60" w:before="180"/>
      </w:pPr>
      <w:r>
        <w:rPr>
          <w:rFonts w:ascii="Arial" w:cs="Arial" w:eastAsia="Arial" w:hAnsi="Arial"/>
          <w:b/>
          <w:bCs/>
          <w:sz w:val="22"/>
          <w:szCs w:val="22"/>
        </w:rPr>
        <w:t xml:space="preserve">1.1  Maximum Authorized Loan Amount</w:t>
      </w:r>
    </w:p>
    <w:p>
      <w:pPr>
        <w:spacing w:after="100" w:line="280"/>
        <w:jc w:val="both"/>
      </w:pPr>
      <w:r>
        <w:rPr>
          <w:rFonts w:ascii="Arial" w:cs="Arial" w:eastAsia="Arial" w:hAnsi="Arial"/>
          <w:sz w:val="22"/>
          <w:szCs w:val="22"/>
        </w:rPr>
        <w:t xml:space="preserve">The Lender grants the Borrower a construction mortgage loan in the maximum authorized amount of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Canadian dollars (CAD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hereinafter referred to as the &amp;quot;Loan&amp;quot;. This represents the maximum ceiling, disbursed progressively based on construction progress.</w:t>
      </w:r>
    </w:p>
    <w:p>
      <w:pPr>
        <w:keepNext/>
        <w:spacing w:after="60" w:before="180"/>
      </w:pPr>
      <w:r>
        <w:rPr>
          <w:rFonts w:ascii="Arial" w:cs="Arial" w:eastAsia="Arial" w:hAnsi="Arial"/>
          <w:b/>
          <w:bCs/>
          <w:sz w:val="22"/>
          <w:szCs w:val="22"/>
        </w:rPr>
        <w:t xml:space="preserve">1.2  Purpose</w:t>
      </w:r>
    </w:p>
    <w:p>
      <w:pPr>
        <w:spacing w:after="100" w:line="280"/>
        <w:jc w:val="both"/>
      </w:pPr>
      <w:r>
        <w:rPr>
          <w:rFonts w:ascii="Arial" w:cs="Arial" w:eastAsia="Arial" w:hAnsi="Arial"/>
          <w:sz w:val="22"/>
          <w:szCs w:val="22"/>
        </w:rPr>
        <w:t xml:space="preserve">The Loan is granted exclusively for the purpose of financing the construction of the Project described in Schedule A, located at </w:t>
      </w:r>
      <w:r>
        <w:fldChar w:fldCharType="begin">
          <w:ffData>
            <w:name w:val="Field13"/>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1.3  Progressive Disbursement of Funds in Tranches</w:t>
      </w:r>
    </w:p>
    <w:p>
      <w:pPr>
        <w:spacing w:after="100" w:line="280"/>
        <w:jc w:val="both"/>
      </w:pPr>
      <w:r>
        <w:rPr>
          <w:rFonts w:ascii="Arial" w:cs="Arial" w:eastAsia="Arial" w:hAnsi="Arial"/>
          <w:sz w:val="22"/>
          <w:szCs w:val="22"/>
        </w:rPr>
        <w:t xml:space="preserve">The Loan shall be disbursed in successive tranches, based on actual construction progress as certified by an accredited appraiser (AACI) or site inspector mandated by the Lender, in accordance with the following schedule:</w:t>
      </w:r>
    </w:p>
    <w:p>
      <w:pPr>
        <w:pStyle w:val="ListParagraph"/>
        <w:numPr>
          <w:ilvl w:val="0"/>
          <w:numId w:val="2"/>
        </w:numPr>
        <w:spacing w:after="60"/>
      </w:pPr>
      <w:r>
        <w:rPr>
          <w:rFonts w:ascii="Arial" w:cs="Arial" w:eastAsia="Arial" w:hAnsi="Arial"/>
          <w:sz w:val="22"/>
          <w:szCs w:val="22"/>
        </w:rPr>
        <w:t xml:space="preserve">Tranche 1 — Land acquisition and soft costs: CAD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(upon signature and registration of this deed);</w:t>
      </w:r>
    </w:p>
    <w:p>
      <w:pPr>
        <w:pStyle w:val="ListParagraph"/>
        <w:numPr>
          <w:ilvl w:val="0"/>
          <w:numId w:val="2"/>
        </w:numPr>
        <w:spacing w:after="60"/>
      </w:pPr>
      <w:r>
        <w:rPr>
          <w:rFonts w:ascii="Arial" w:cs="Arial" w:eastAsia="Arial" w:hAnsi="Arial"/>
          <w:sz w:val="22"/>
          <w:szCs w:val="22"/>
        </w:rPr>
        <w:t xml:space="preserve">Tranche 2 — Excavation and foundations: CAD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(upon progress certificate signed by the inspector);</w:t>
      </w:r>
    </w:p>
    <w:p>
      <w:pPr>
        <w:pStyle w:val="ListParagraph"/>
        <w:numPr>
          <w:ilvl w:val="0"/>
          <w:numId w:val="2"/>
        </w:numPr>
        <w:spacing w:after="60"/>
      </w:pPr>
      <w:r>
        <w:rPr>
          <w:rFonts w:ascii="Arial" w:cs="Arial" w:eastAsia="Arial" w:hAnsi="Arial"/>
          <w:sz w:val="22"/>
          <w:szCs w:val="22"/>
        </w:rPr>
        <w:t xml:space="preserve">Tranche 3 — Framing, roofing, and fenestration (closed-in): CAD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Tranche 4 — Plumbing, electrical, mechanical, and interior finishes: CAD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Tranche 5 — Substantial completion and certificate of occupancy: CAD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Final tranche (holdback release): CAD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(upon release of the holdback, see 1.5);</w:t>
      </w:r>
    </w:p>
    <w:p>
      <w:pPr>
        <w:spacing w:after="100" w:line="280"/>
        <w:jc w:val="both"/>
      </w:pPr>
      <w:r>
        <w:rPr>
          <w:rFonts w:ascii="Arial" w:cs="Arial" w:eastAsia="Arial" w:hAnsi="Arial"/>
          <w:sz w:val="22"/>
          <w:szCs w:val="22"/>
        </w:rPr>
        <w:t xml:space="preserve">Each disbursement request must be accompanied by the following supporting documentation: original invoices, partial waiver of subcontractor liens, progress photographs, and site inspection certificate. The Lender reserves the right to refuse any non-conforming disbursement.</w:t>
      </w:r>
    </w:p>
    <w:p>
      <w:pPr>
        <w:keepNext/>
        <w:spacing w:after="60" w:before="180"/>
      </w:pPr>
      <w:r>
        <w:rPr>
          <w:rFonts w:ascii="Arial" w:cs="Arial" w:eastAsia="Arial" w:hAnsi="Arial"/>
          <w:b/>
          <w:bCs/>
          <w:sz w:val="22"/>
          <w:szCs w:val="22"/>
        </w:rPr>
        <w:t xml:space="preserve">1.4  Conditions Precedent to Initial Disbursement</w:t>
      </w:r>
    </w:p>
    <w:p>
      <w:pPr>
        <w:spacing w:after="100" w:line="280"/>
        <w:jc w:val="both"/>
      </w:pPr>
      <w:r>
        <w:rPr>
          <w:rFonts w:ascii="Arial" w:cs="Arial" w:eastAsia="Arial" w:hAnsi="Arial"/>
          <w:sz w:val="22"/>
          <w:szCs w:val="22"/>
        </w:rPr>
        <w:t xml:space="preserve">Disbursement of the first tranche is conditional upon:</w:t>
      </w:r>
    </w:p>
    <w:p>
      <w:pPr>
        <w:pStyle w:val="ListParagraph"/>
        <w:numPr>
          <w:ilvl w:val="0"/>
          <w:numId w:val="2"/>
        </w:numPr>
        <w:spacing w:after="60"/>
      </w:pPr>
      <w:r>
        <w:rPr>
          <w:rFonts w:ascii="Arial" w:cs="Arial" w:eastAsia="Arial" w:hAnsi="Arial"/>
          <w:sz w:val="22"/>
          <w:szCs w:val="22"/>
        </w:rPr>
        <w:t xml:space="preserve">Confirmation of first-rank mortgage status by the instrumenting notary;</w:t>
      </w:r>
    </w:p>
    <w:p>
      <w:pPr>
        <w:pStyle w:val="ListParagraph"/>
        <w:numPr>
          <w:ilvl w:val="0"/>
          <w:numId w:val="2"/>
        </w:numPr>
        <w:spacing w:after="60"/>
      </w:pPr>
      <w:r>
        <w:rPr>
          <w:rFonts w:ascii="Arial" w:cs="Arial" w:eastAsia="Arial" w:hAnsi="Arial"/>
          <w:sz w:val="22"/>
          <w:szCs w:val="22"/>
        </w:rPr>
        <w:t xml:space="preserve">Proof of clear title and absence of undisclosed mortgages, charges, or servitudes;</w:t>
      </w:r>
    </w:p>
    <w:p>
      <w:pPr>
        <w:pStyle w:val="ListParagraph"/>
        <w:numPr>
          <w:ilvl w:val="0"/>
          <w:numId w:val="2"/>
        </w:numPr>
        <w:spacing w:after="60"/>
      </w:pPr>
      <w:r>
        <w:rPr>
          <w:rFonts w:ascii="Arial" w:cs="Arial" w:eastAsia="Arial" w:hAnsi="Arial"/>
          <w:sz w:val="22"/>
          <w:szCs w:val="22"/>
        </w:rPr>
        <w:t xml:space="preserve">Accredited (AACI) appraisal, both prospective (stabilized value) and at constructed cost;</w:t>
      </w:r>
    </w:p>
    <w:p>
      <w:pPr>
        <w:pStyle w:val="ListParagraph"/>
        <w:numPr>
          <w:ilvl w:val="0"/>
          <w:numId w:val="2"/>
        </w:numPr>
        <w:spacing w:after="60"/>
      </w:pPr>
      <w:r>
        <w:rPr>
          <w:rFonts w:ascii="Arial" w:cs="Arial" w:eastAsia="Arial" w:hAnsi="Arial"/>
          <w:sz w:val="22"/>
          <w:szCs w:val="22"/>
        </w:rPr>
        <w:t xml:space="preserve">Valid building permit issued by the municipality;</w:t>
      </w:r>
    </w:p>
    <w:p>
      <w:pPr>
        <w:pStyle w:val="ListParagraph"/>
        <w:numPr>
          <w:ilvl w:val="0"/>
          <w:numId w:val="2"/>
        </w:numPr>
        <w:spacing w:after="60"/>
      </w:pPr>
      <w:r>
        <w:rPr>
          <w:rFonts w:ascii="Arial" w:cs="Arial" w:eastAsia="Arial" w:hAnsi="Arial"/>
          <w:sz w:val="22"/>
          <w:szCs w:val="22"/>
        </w:rPr>
        <w:t xml:space="preserve">Geotechnical soil study and Phase I environmental assessment, satisfactory to the Lender;</w:t>
      </w:r>
    </w:p>
    <w:p>
      <w:pPr>
        <w:pStyle w:val="ListParagraph"/>
        <w:numPr>
          <w:ilvl w:val="0"/>
          <w:numId w:val="2"/>
        </w:numPr>
        <w:spacing w:after="60"/>
      </w:pPr>
      <w:r>
        <w:rPr>
          <w:rFonts w:ascii="Arial" w:cs="Arial" w:eastAsia="Arial" w:hAnsi="Arial"/>
          <w:sz w:val="22"/>
          <w:szCs w:val="22"/>
        </w:rPr>
        <w:t xml:space="preserve">Builder's Risk insurance policy with Capital Norvex named as additional insured and loss payee;</w:t>
      </w:r>
    </w:p>
    <w:p>
      <w:pPr>
        <w:pStyle w:val="ListParagraph"/>
        <w:numPr>
          <w:ilvl w:val="0"/>
          <w:numId w:val="2"/>
        </w:numPr>
        <w:spacing w:after="60"/>
      </w:pPr>
      <w:r>
        <w:rPr>
          <w:rFonts w:ascii="Arial" w:cs="Arial" w:eastAsia="Arial" w:hAnsi="Arial"/>
          <w:sz w:val="22"/>
          <w:szCs w:val="22"/>
        </w:rPr>
        <w:t xml:space="preserve">Performance and payment bond from the general contractor (if applicable);</w:t>
      </w:r>
    </w:p>
    <w:p>
      <w:pPr>
        <w:pStyle w:val="ListParagraph"/>
        <w:numPr>
          <w:ilvl w:val="0"/>
          <w:numId w:val="2"/>
        </w:numPr>
        <w:spacing w:after="60"/>
      </w:pPr>
      <w:r>
        <w:rPr>
          <w:rFonts w:ascii="Arial" w:cs="Arial" w:eastAsia="Arial" w:hAnsi="Arial"/>
          <w:sz w:val="22"/>
          <w:szCs w:val="22"/>
        </w:rPr>
        <w:t xml:space="preserve">Garantie de construction résidentielle (GCR) or equivalent home warranty (depending on Project nature);</w:t>
      </w:r>
    </w:p>
    <w:p>
      <w:pPr>
        <w:pStyle w:val="ListParagraph"/>
        <w:numPr>
          <w:ilvl w:val="0"/>
          <w:numId w:val="2"/>
        </w:numPr>
        <w:spacing w:after="60"/>
      </w:pPr>
      <w:r>
        <w:rPr>
          <w:rFonts w:ascii="Arial" w:cs="Arial" w:eastAsia="Arial" w:hAnsi="Arial"/>
          <w:sz w:val="22"/>
          <w:szCs w:val="22"/>
        </w:rPr>
        <w:t xml:space="preserve">Assignment in favour of the Lender of all contracts with the general contractor, plans and specifications, permits, and ancillary documents;</w:t>
      </w:r>
    </w:p>
    <w:p>
      <w:pPr>
        <w:pStyle w:val="ListParagraph"/>
        <w:numPr>
          <w:ilvl w:val="0"/>
          <w:numId w:val="2"/>
        </w:numPr>
        <w:spacing w:after="60"/>
      </w:pPr>
      <w:r>
        <w:rPr>
          <w:rFonts w:ascii="Arial" w:cs="Arial" w:eastAsia="Arial" w:hAnsi="Arial"/>
          <w:sz w:val="22"/>
          <w:szCs w:val="22"/>
        </w:rPr>
        <w:t xml:space="preserve">Execution of this deed and any ancillary document required by the Lender.</w:t>
      </w:r>
    </w:p>
    <w:p>
      <w:pPr>
        <w:keepNext/>
        <w:spacing w:after="60" w:before="180"/>
      </w:pPr>
      <w:r>
        <w:rPr>
          <w:rFonts w:ascii="Arial" w:cs="Arial" w:eastAsia="Arial" w:hAnsi="Arial"/>
          <w:b/>
          <w:bCs/>
          <w:sz w:val="22"/>
          <w:szCs w:val="22"/>
        </w:rPr>
        <w:t xml:space="preserve">1.5  Construction Holdback</w:t>
      </w:r>
    </w:p>
    <w:p>
      <w:pPr>
        <w:spacing w:after="100" w:line="280"/>
        <w:jc w:val="both"/>
      </w:pPr>
      <w:r>
        <w:rPr>
          <w:rFonts w:ascii="Arial" w:cs="Arial" w:eastAsia="Arial" w:hAnsi="Arial"/>
          <w:sz w:val="22"/>
          <w:szCs w:val="22"/>
        </w:rPr>
        <w:t xml:space="preserve">A holdback of five percent (5%) of each disbursed tranche shall be retained by the Lender as a construction holdback, in accordance with standard practice in Quebec. This holdback shall be released thirty-five (35) days after substantial completion of the works, subject to the absence of any registered legal hypothec for construction (art. 2726 et seq. C.C.Q.) and upon delivery of final waivers from all suppliers and subcontractors.</w:t>
      </w:r>
    </w:p>
    <w:p>
      <w:pPr>
        <w:keepNext/>
        <w:spacing w:after="60" w:before="180"/>
      </w:pPr>
      <w:r>
        <w:rPr>
          <w:rFonts w:ascii="Arial" w:cs="Arial" w:eastAsia="Arial" w:hAnsi="Arial"/>
          <w:b/>
          <w:bCs/>
          <w:sz w:val="22"/>
          <w:szCs w:val="22"/>
        </w:rPr>
        <w:t xml:space="preserve">1.6  LTC and LTV Ratios</w:t>
      </w:r>
    </w:p>
    <w:p>
      <w:pPr>
        <w:spacing w:after="100" w:line="280"/>
        <w:jc w:val="both"/>
      </w:pPr>
      <w:r>
        <w:rPr>
          <w:rFonts w:ascii="Arial" w:cs="Arial" w:eastAsia="Arial" w:hAnsi="Arial"/>
          <w:sz w:val="22"/>
          <w:szCs w:val="22"/>
        </w:rPr>
        <w:t xml:space="preserve">The Loan represents:</w:t>
      </w:r>
    </w:p>
    <w:p>
      <w:pPr>
        <w:pStyle w:val="ListParagraph"/>
        <w:numPr>
          <w:ilvl w:val="0"/>
          <w:numId w:val="2"/>
        </w:numPr>
        <w:spacing w:after="60"/>
      </w:pPr>
      <w:r>
        <w:rPr>
          <w:rFonts w:ascii="Arial" w:cs="Arial" w:eastAsia="Arial" w:hAnsi="Arial"/>
          <w:sz w:val="22"/>
          <w:szCs w:val="22"/>
        </w:rPr>
        <w:t xml:space="preserve">A maximum loan-to-cost (LTC) ratio of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the total construction cost estimated at CAD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A maximum loan-to-value (LTV) ratio of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the projected stabilized value appraised at CAD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100" w:line="280"/>
        <w:jc w:val="both"/>
      </w:pPr>
      <w:r>
        <w:rPr>
          <w:rFonts w:ascii="Arial" w:cs="Arial" w:eastAsia="Arial" w:hAnsi="Arial"/>
          <w:sz w:val="22"/>
          <w:szCs w:val="22"/>
        </w:rPr>
        <w:t xml:space="preserve">These ratios must be maintained at all times during the term of the Loan.</w:t>
      </w:r>
    </w:p>
    <w:p>
      <w:pPr>
        <w:keepNext/>
        <w:spacing w:after="120" w:before="240"/>
      </w:pPr>
      <w:r>
        <w:rPr>
          <w:rFonts w:ascii="Arial" w:cs="Arial" w:eastAsia="Arial" w:hAnsi="Arial"/>
          <w:b/>
          <w:bCs/>
          <w:sz w:val="24"/>
          <w:szCs w:val="24"/>
        </w:rPr>
        <w:t xml:space="preserve">ARTICLE 2 — FINANCIAL CONDITIONS</w:t>
      </w:r>
    </w:p>
    <w:p>
      <w:pPr>
        <w:keepNext/>
        <w:spacing w:after="60" w:before="180"/>
      </w:pPr>
      <w:r>
        <w:rPr>
          <w:rFonts w:ascii="Arial" w:cs="Arial" w:eastAsia="Arial" w:hAnsi="Arial"/>
          <w:b/>
          <w:bCs/>
          <w:sz w:val="22"/>
          <w:szCs w:val="22"/>
        </w:rPr>
        <w:t xml:space="preserve">2.1  Interest Rate</w:t>
      </w:r>
    </w:p>
    <w:p>
      <w:pPr>
        <w:spacing w:after="100" w:line="280"/>
        <w:jc w:val="both"/>
      </w:pPr>
      <w:r>
        <w:rPr>
          <w:rFonts w:ascii="Arial" w:cs="Arial" w:eastAsia="Arial" w:hAnsi="Arial"/>
          <w:sz w:val="22"/>
          <w:szCs w:val="22"/>
        </w:rPr>
        <w:t xml:space="preserve">The Loan shall bear interest at a fixed annual rate of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per year, calculated and capitalized monthly on amounts actually disbursed (not on the maximum authorized amount).</w:t>
      </w:r>
    </w:p>
    <w:p>
      <w:pPr>
        <w:keepNext/>
        <w:spacing w:after="60" w:before="180"/>
      </w:pPr>
      <w:r>
        <w:rPr>
          <w:rFonts w:ascii="Arial" w:cs="Arial" w:eastAsia="Arial" w:hAnsi="Arial"/>
          <w:b/>
          <w:bCs/>
          <w:sz w:val="22"/>
          <w:szCs w:val="22"/>
        </w:rPr>
        <w:t xml:space="preserve">2.2  Capitalization of Interest During Construction Phase</w:t>
      </w:r>
    </w:p>
    <w:p>
      <w:pPr>
        <w:spacing w:after="100" w:line="280"/>
        <w:jc w:val="both"/>
      </w:pPr>
      <w:r>
        <w:rPr>
          <w:rFonts w:ascii="Arial" w:cs="Arial" w:eastAsia="Arial" w:hAnsi="Arial"/>
          <w:sz w:val="22"/>
          <w:szCs w:val="22"/>
        </w:rPr>
        <w:t xml:space="preserve">Interest accrued during the entire construction phase (from initial disbursement to the Substantial Completion Date) is capitalized monthly and added to principal. No periodic interest payment is due during this period, subject to compliance with the Loan ceiling.</w:t>
      </w:r>
    </w:p>
    <w:p>
      <w:pPr>
        <w:keepNext/>
        <w:spacing w:after="60" w:before="180"/>
      </w:pPr>
      <w:r>
        <w:rPr>
          <w:rFonts w:ascii="Arial" w:cs="Arial" w:eastAsia="Arial" w:hAnsi="Arial"/>
          <w:b/>
          <w:bCs/>
          <w:sz w:val="22"/>
          <w:szCs w:val="22"/>
        </w:rPr>
        <w:t xml:space="preserve">2.3  File Fees</w:t>
      </w:r>
    </w:p>
    <w:p>
      <w:pPr>
        <w:spacing w:after="100" w:line="280"/>
        <w:jc w:val="both"/>
      </w:pPr>
      <w:r>
        <w:rPr>
          <w:rFonts w:ascii="Arial" w:cs="Arial" w:eastAsia="Arial" w:hAnsi="Arial"/>
          <w:sz w:val="22"/>
          <w:szCs w:val="22"/>
        </w:rPr>
        <w:t xml:space="preserve">File fees of CAD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the maximum authorized amount) are payable to Capital Norvex Inc. at signing or initial disbursement, non-refundable.</w:t>
      </w:r>
    </w:p>
    <w:p>
      <w:pPr>
        <w:keepNext/>
        <w:spacing w:after="60" w:before="180"/>
      </w:pPr>
      <w:r>
        <w:rPr>
          <w:rFonts w:ascii="Arial" w:cs="Arial" w:eastAsia="Arial" w:hAnsi="Arial"/>
          <w:b/>
          <w:bCs/>
          <w:sz w:val="22"/>
          <w:szCs w:val="22"/>
        </w:rPr>
        <w:t xml:space="preserve">2.4  Analysis Fees in Case of Term Extension</w:t>
      </w:r>
    </w:p>
    <w:p>
      <w:pPr>
        <w:spacing w:after="100" w:line="280"/>
        <w:jc w:val="both"/>
      </w:pPr>
      <w:r>
        <w:rPr>
          <w:rFonts w:ascii="Arial" w:cs="Arial" w:eastAsia="Arial" w:hAnsi="Arial"/>
          <w:sz w:val="22"/>
          <w:szCs w:val="22"/>
        </w:rPr>
        <w:t xml:space="preserve">For any Loan whose initial term is exceeded (that is, upon any extension beyond the initial Maturity Date provided in Article 3.1), additional analysis fees of one percent (1%) of the principal shall be payable, subject to renegotiation on a case-by-case basis depending on the circumstances of the file. Such fees are calculated on the principal balance outstanding at the Maturity Date and are payable upon signature of any extension or, failing that, upon first demand of the Lender.</w:t>
      </w:r>
    </w:p>
    <w:p>
      <w:pPr>
        <w:keepNext/>
        <w:spacing w:after="60" w:before="180"/>
      </w:pPr>
      <w:r>
        <w:rPr>
          <w:rFonts w:ascii="Arial" w:cs="Arial" w:eastAsia="Arial" w:hAnsi="Arial"/>
          <w:b/>
          <w:bCs/>
          <w:sz w:val="22"/>
          <w:szCs w:val="22"/>
        </w:rPr>
        <w:t xml:space="preserve">2.5  Inspection Fees</w:t>
      </w:r>
    </w:p>
    <w:p>
      <w:pPr>
        <w:spacing w:after="100" w:line="280"/>
        <w:jc w:val="both"/>
      </w:pPr>
      <w:r>
        <w:rPr>
          <w:rFonts w:ascii="Arial" w:cs="Arial" w:eastAsia="Arial" w:hAnsi="Arial"/>
          <w:sz w:val="22"/>
          <w:szCs w:val="22"/>
        </w:rPr>
        <w:t xml:space="preserve">Fees of the appraiser or site inspector mandated by the Lender for each tranche are at the exclusive expense of the Borrower, payable upon invoicing.</w:t>
      </w:r>
    </w:p>
    <w:p>
      <w:pPr>
        <w:keepNext/>
        <w:spacing w:after="60" w:before="180"/>
      </w:pPr>
      <w:r>
        <w:rPr>
          <w:rFonts w:ascii="Arial" w:cs="Arial" w:eastAsia="Arial" w:hAnsi="Arial"/>
          <w:b/>
          <w:bCs/>
          <w:sz w:val="22"/>
          <w:szCs w:val="22"/>
        </w:rPr>
        <w:t xml:space="preserve">2.6  Default Rate</w:t>
      </w:r>
    </w:p>
    <w:p>
      <w:pPr>
        <w:spacing w:after="100" w:line="280"/>
        <w:jc w:val="both"/>
      </w:pPr>
      <w:r>
        <w:rPr>
          <w:rFonts w:ascii="Arial" w:cs="Arial" w:eastAsia="Arial" w:hAnsi="Arial"/>
          <w:sz w:val="22"/>
          <w:szCs w:val="22"/>
        </w:rPr>
        <w:t xml:space="preserve">In the event of default, any unpaid amount shall bear interest at the annual rate of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until full payment.</w:t>
      </w:r>
    </w:p>
    <w:p>
      <w:pPr>
        <w:keepNext/>
        <w:spacing w:after="120" w:before="240"/>
      </w:pPr>
      <w:r>
        <w:rPr>
          <w:rFonts w:ascii="Arial" w:cs="Arial" w:eastAsia="Arial" w:hAnsi="Arial"/>
          <w:b/>
          <w:bCs/>
          <w:sz w:val="24"/>
          <w:szCs w:val="24"/>
        </w:rPr>
        <w:t xml:space="preserve">ARTICLE 3 — TERM AND REPAYMENT</w:t>
      </w:r>
    </w:p>
    <w:p>
      <w:pPr>
        <w:keepNext/>
        <w:spacing w:after="60" w:before="180"/>
      </w:pPr>
      <w:r>
        <w:rPr>
          <w:rFonts w:ascii="Arial" w:cs="Arial" w:eastAsia="Arial" w:hAnsi="Arial"/>
          <w:b/>
          <w:bCs/>
          <w:sz w:val="22"/>
          <w:szCs w:val="22"/>
        </w:rPr>
        <w:t xml:space="preserve">3.1  Term</w:t>
      </w:r>
    </w:p>
    <w:p>
      <w:pPr>
        <w:spacing w:after="100" w:line="280"/>
        <w:jc w:val="both"/>
      </w:pPr>
      <w:r>
        <w:rPr>
          <w:rFonts w:ascii="Arial" w:cs="Arial" w:eastAsia="Arial" w:hAnsi="Arial"/>
          <w:sz w:val="22"/>
          <w:szCs w:val="22"/>
        </w:rPr>
        <w:t xml:space="preserve">The term of the Loan is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months (typically 12 to 18 months for construction), from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to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(the &amp;quot;Maturity Date&amp;quot;). The full balance of principal, capitalized interest, and fees shall be repaid no later than the Maturity Date.</w:t>
      </w:r>
    </w:p>
    <w:p>
      <w:pPr>
        <w:keepNext/>
        <w:spacing w:after="60" w:before="180"/>
      </w:pPr>
      <w:r>
        <w:rPr>
          <w:rFonts w:ascii="Arial" w:cs="Arial" w:eastAsia="Arial" w:hAnsi="Arial"/>
          <w:b/>
          <w:bCs/>
          <w:sz w:val="22"/>
          <w:szCs w:val="22"/>
        </w:rPr>
        <w:t xml:space="preserve">3.2  Substantial Completion</w:t>
      </w:r>
    </w:p>
    <w:p>
      <w:pPr>
        <w:spacing w:after="100" w:line="280"/>
        <w:jc w:val="both"/>
      </w:pPr>
      <w:r>
        <w:rPr>
          <w:rFonts w:ascii="Arial" w:cs="Arial" w:eastAsia="Arial" w:hAnsi="Arial"/>
          <w:sz w:val="22"/>
          <w:szCs w:val="22"/>
        </w:rPr>
        <w:t xml:space="preserve">The Borrower undertakes to achieve substantial completion of the Project (within the meaning of the Building Act and art. 2110 et seq. C.C.Q.) no later than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Any significant delay must be the subject of a written notice with reasons given to the Lender.</w:t>
      </w:r>
    </w:p>
    <w:p>
      <w:pPr>
        <w:keepNext/>
        <w:spacing w:after="60" w:before="180"/>
      </w:pPr>
      <w:r>
        <w:rPr>
          <w:rFonts w:ascii="Arial" w:cs="Arial" w:eastAsia="Arial" w:hAnsi="Arial"/>
          <w:b/>
          <w:bCs/>
          <w:sz w:val="22"/>
          <w:szCs w:val="22"/>
        </w:rPr>
        <w:t xml:space="preserve">3.3  Prepayment</w:t>
      </w:r>
    </w:p>
    <w:p>
      <w:pPr>
        <w:spacing w:after="100" w:line="280"/>
        <w:jc w:val="both"/>
      </w:pPr>
      <w:r>
        <w:rPr>
          <w:rFonts w:ascii="Arial" w:cs="Arial" w:eastAsia="Arial" w:hAnsi="Arial"/>
          <w:sz w:val="22"/>
          <w:szCs w:val="22"/>
        </w:rPr>
        <w:t xml:space="preserve">The Borrower may repay the Loan in whole or in part without penalty, upon five (5) business days' prior written notice.</w:t>
      </w:r>
    </w:p>
    <w:p>
      <w:pPr>
        <w:keepNext/>
        <w:spacing w:after="60" w:before="180"/>
      </w:pPr>
      <w:r>
        <w:rPr>
          <w:rFonts w:ascii="Arial" w:cs="Arial" w:eastAsia="Arial" w:hAnsi="Arial"/>
          <w:b/>
          <w:bCs/>
          <w:sz w:val="22"/>
          <w:szCs w:val="22"/>
        </w:rPr>
        <w:t xml:space="preserve">3.4  Exit Strategy</w:t>
      </w:r>
    </w:p>
    <w:p>
      <w:pPr>
        <w:spacing w:after="100" w:line="280"/>
        <w:jc w:val="both"/>
      </w:pPr>
      <w:r>
        <w:rPr>
          <w:rFonts w:ascii="Arial" w:cs="Arial" w:eastAsia="Arial" w:hAnsi="Arial"/>
          <w:sz w:val="22"/>
          <w:szCs w:val="22"/>
        </w:rPr>
        <w:t xml:space="preserve">The Borrower declares that its repayment strategy is the following: </w:t>
      </w:r>
      <w:r>
        <w:fldChar w:fldCharType="begin">
          <w:ffData>
            <w:name w:val="Field32"/>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(sale / bank refinancing / stabilized rental — strike out as applicable).</w:t>
      </w:r>
    </w:p>
    <w:p>
      <w:pPr>
        <w:spacing w:after="100" w:line="280"/>
        <w:jc w:val="both"/>
      </w:pPr>
      <w:r>
        <w:rPr>
          <w:rFonts w:ascii="Arial" w:cs="Arial" w:eastAsia="Arial" w:hAnsi="Arial"/>
          <w:sz w:val="22"/>
          <w:szCs w:val="22"/>
        </w:rPr>
        <w:t xml:space="preserve">Preliminary confirmation of exit strategy: </w:t>
      </w:r>
      <w:r>
        <w:fldChar w:fldCharType="begin">
          <w:ffData>
            <w:name w:val="Field33"/>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120" w:before="240"/>
      </w:pPr>
      <w:r>
        <w:rPr>
          <w:rFonts w:ascii="Arial" w:cs="Arial" w:eastAsia="Arial" w:hAnsi="Arial"/>
          <w:b/>
          <w:bCs/>
          <w:sz w:val="24"/>
          <w:szCs w:val="24"/>
        </w:rPr>
        <w:t xml:space="preserve">ARTICLE 4 — FIRST-RANK REAL ESTATE MORTGAGE</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The Borrower hereby grants in favour of the Lender a first-rank real estate mortgage on the Property, in the principal sum of (</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(CAD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plus interest at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per year, plus fees and charges (art. 2660 et seq. C.C.Q.).</w:t>
      </w:r>
    </w:p>
    <w:p>
      <w:pPr>
        <w:keepNext/>
        <w:spacing w:after="60" w:before="180"/>
      </w:pPr>
      <w:r>
        <w:rPr>
          <w:rFonts w:ascii="Arial" w:cs="Arial" w:eastAsia="Arial" w:hAnsi="Arial"/>
          <w:b/>
          <w:bCs/>
          <w:sz w:val="22"/>
          <w:szCs w:val="22"/>
        </w:rPr>
        <w:t xml:space="preserve">4.2  Property Description</w:t>
      </w:r>
    </w:p>
    <w:p>
      <w:pPr>
        <w:spacing w:after="100" w:line="280"/>
        <w:jc w:val="both"/>
      </w:pPr>
      <w:r>
        <w:rPr>
          <w:rFonts w:ascii="Arial" w:cs="Arial" w:eastAsia="Arial" w:hAnsi="Arial"/>
          <w:sz w:val="22"/>
          <w:szCs w:val="22"/>
        </w:rPr>
        <w:t xml:space="preserve">Civic address / location: </w:t>
      </w: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Project description (building type, number of floors, dwellings or units): </w:t>
      </w:r>
      <w:r>
        <w:fldChar w:fldCharType="begin">
          <w:ffData>
            <w:name w:val="Field38"/>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Cadastral lot(s) — see the table below (the notary may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Lot Number (Quebec Cadastre)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Land Registry Division</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Area / Description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(The notary may add or remove rows in the table according to the number of lots concerned.)</w:t>
      </w:r>
    </w:p>
    <w:p>
      <w:pPr>
        <w:spacing w:after="100" w:line="280"/>
        <w:jc w:val="both"/>
      </w:pPr>
      <w:r>
        <w:rPr>
          <w:rFonts w:ascii="Arial" w:cs="Arial" w:eastAsia="Arial" w:hAnsi="Arial"/>
          <w:sz w:val="22"/>
          <w:szCs w:val="22"/>
        </w:rPr>
        <w:t xml:space="preserve">Complete cadastral designation:</w:t>
      </w:r>
    </w:p>
    <w:p>
      <w:pPr>
        <w:spacing w:after="100" w:line="280"/>
        <w:jc w:val="both"/>
      </w:pPr>
      <w:r>
        <w:fldChar w:fldCharType="begin">
          <w:ffData>
            <w:name w:val="Field39"/>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40"/>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41"/>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Municipal assessed value: CAD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Total projected construction cost: CAD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Projected stabilized value upon completion: CAD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p>
    <w:p>
      <w:pPr>
        <w:keepNext/>
        <w:spacing w:after="60" w:before="180"/>
      </w:pPr>
      <w:r>
        <w:rPr>
          <w:rFonts w:ascii="Arial" w:cs="Arial" w:eastAsia="Arial" w:hAnsi="Arial"/>
          <w:b/>
          <w:bCs/>
          <w:sz w:val="22"/>
          <w:szCs w:val="22"/>
        </w:rPr>
        <w:t xml:space="preserve">4.3  Declaration of Ownership and Rank</w:t>
      </w:r>
    </w:p>
    <w:p>
      <w:pPr>
        <w:spacing w:after="100" w:line="280"/>
        <w:jc w:val="both"/>
      </w:pPr>
      <w:r>
        <w:rPr>
          <w:rFonts w:ascii="Arial" w:cs="Arial" w:eastAsia="Arial" w:hAnsi="Arial"/>
          <w:sz w:val="22"/>
          <w:szCs w:val="22"/>
        </w:rPr>
        <w:t xml:space="preserve">The Borrower declares to be the sole owner of the Property (or to be about to become owner through the initial disbursement of the Loan), free of any charge except: </w:t>
      </w:r>
      <w:r>
        <w:fldChar w:fldCharType="begin">
          <w:ffData>
            <w:name w:val="Field4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and that the Mortgage shall be of first rank.</w:t>
      </w:r>
    </w:p>
    <w:p>
      <w:pPr>
        <w:keepNext/>
        <w:spacing w:after="60" w:before="180"/>
      </w:pPr>
      <w:r>
        <w:rPr>
          <w:rFonts w:ascii="Arial" w:cs="Arial" w:eastAsia="Arial" w:hAnsi="Arial"/>
          <w:b/>
          <w:bCs/>
          <w:sz w:val="22"/>
          <w:szCs w:val="22"/>
        </w:rPr>
        <w:t xml:space="preserve">4.4  Scope</w:t>
      </w:r>
    </w:p>
    <w:p>
      <w:pPr>
        <w:spacing w:after="100" w:line="280"/>
        <w:jc w:val="both"/>
      </w:pPr>
      <w:r>
        <w:rPr>
          <w:rFonts w:ascii="Arial" w:cs="Arial" w:eastAsia="Arial" w:hAnsi="Arial"/>
          <w:sz w:val="22"/>
          <w:szCs w:val="22"/>
        </w:rPr>
        <w:t xml:space="preserve">The Mortgage extends to the Property as it currently exists and as it will be improved by the Project, including all buildings, improvements, fixtures, and accessories permanently affixed during or after the term of the Loan (art. 2671 C.C.Q.).</w:t>
      </w:r>
    </w:p>
    <w:p>
      <w:pPr>
        <w:keepNext/>
        <w:spacing w:after="60" w:before="180"/>
      </w:pPr>
      <w:r>
        <w:rPr>
          <w:rFonts w:ascii="Arial" w:cs="Arial" w:eastAsia="Arial" w:hAnsi="Arial"/>
          <w:b/>
          <w:bCs/>
          <w:sz w:val="22"/>
          <w:szCs w:val="22"/>
        </w:rPr>
        <w:t xml:space="preserve">4.5  Assignment of Rents and Insurance</w:t>
      </w:r>
    </w:p>
    <w:p>
      <w:pPr>
        <w:spacing w:after="100" w:line="280"/>
        <w:jc w:val="both"/>
      </w:pPr>
      <w:r>
        <w:rPr>
          <w:rFonts w:ascii="Arial" w:cs="Arial" w:eastAsia="Arial" w:hAnsi="Arial"/>
          <w:sz w:val="22"/>
          <w:szCs w:val="22"/>
        </w:rPr>
        <w:t xml:space="preserve">The Borrower assigns and hypothecates to the Lender, as additional security:</w:t>
      </w:r>
    </w:p>
    <w:p>
      <w:pPr>
        <w:pStyle w:val="ListParagraph"/>
        <w:numPr>
          <w:ilvl w:val="0"/>
          <w:numId w:val="2"/>
        </w:numPr>
        <w:spacing w:after="60"/>
      </w:pPr>
      <w:r>
        <w:rPr>
          <w:rFonts w:ascii="Arial" w:cs="Arial" w:eastAsia="Arial" w:hAnsi="Arial"/>
          <w:sz w:val="22"/>
          <w:szCs w:val="22"/>
        </w:rPr>
        <w:t xml:space="preserve">All insurance policies relating to the Property and the Project, with Capital Norvex designated as beneficiary in case of loss;</w:t>
      </w:r>
    </w:p>
    <w:p>
      <w:pPr>
        <w:pStyle w:val="ListParagraph"/>
        <w:numPr>
          <w:ilvl w:val="0"/>
          <w:numId w:val="2"/>
        </w:numPr>
        <w:spacing w:after="60"/>
      </w:pPr>
      <w:r>
        <w:rPr>
          <w:rFonts w:ascii="Arial" w:cs="Arial" w:eastAsia="Arial" w:hAnsi="Arial"/>
          <w:sz w:val="22"/>
          <w:szCs w:val="22"/>
        </w:rPr>
        <w:t xml:space="preserve">All rents and leases entered into during or after the construction phase (art. 2695 C.C.Q.).</w:t>
      </w:r>
    </w:p>
    <w:p>
      <w:pPr>
        <w:spacing w:after="100" w:line="280"/>
        <w:jc w:val="both"/>
      </w:pPr>
      <w:r>
        <w:rPr>
          <w:rFonts w:ascii="Arial" w:cs="Arial" w:eastAsia="Arial" w:hAnsi="Arial"/>
          <w:sz w:val="22"/>
          <w:szCs w:val="22"/>
        </w:rPr>
        <w:t xml:space="preserve">These assignments shall become enforceable by operation of law upon the occurrence of an Event of Default. The assignment of contracts with the general contractor and major subcontractors, plans and specifications, permits, and all ancillary documents is the subject of separate stipulations set forth in the Loan Agreement between the Parties.</w:t>
      </w:r>
    </w:p>
    <w:p>
      <w:pPr>
        <w:keepNext/>
        <w:spacing w:after="60" w:before="180"/>
      </w:pPr>
      <w:r>
        <w:rPr>
          <w:rFonts w:ascii="Arial" w:cs="Arial" w:eastAsia="Arial" w:hAnsi="Arial"/>
          <w:b/>
          <w:bCs/>
          <w:sz w:val="22"/>
          <w:szCs w:val="22"/>
        </w:rPr>
        <w:t xml:space="preserve">4.6  Additional Restrictions</w:t>
      </w:r>
    </w:p>
    <w:p>
      <w:pPr>
        <w:spacing w:after="100" w:line="280"/>
        <w:jc w:val="both"/>
      </w:pPr>
      <w:r>
        <w:rPr>
          <w:rFonts w:ascii="Arial" w:cs="Arial" w:eastAsia="Arial" w:hAnsi="Arial"/>
          <w:sz w:val="22"/>
          <w:szCs w:val="22"/>
        </w:rPr>
        <w:t xml:space="preserve">Without the prior written consent of the Lender, the Borrower shall not:</w:t>
      </w:r>
    </w:p>
    <w:p>
      <w:pPr>
        <w:pStyle w:val="ListParagraph"/>
        <w:numPr>
          <w:ilvl w:val="0"/>
          <w:numId w:val="2"/>
        </w:numPr>
        <w:spacing w:after="60"/>
      </w:pPr>
      <w:r>
        <w:rPr>
          <w:rFonts w:ascii="Arial" w:cs="Arial" w:eastAsia="Arial" w:hAnsi="Arial"/>
          <w:sz w:val="22"/>
          <w:szCs w:val="22"/>
        </w:rPr>
        <w:t xml:space="preserve">Constitute any additional charge, mortgage, or security on the Property;</w:t>
      </w:r>
    </w:p>
    <w:p>
      <w:pPr>
        <w:pStyle w:val="ListParagraph"/>
        <w:numPr>
          <w:ilvl w:val="0"/>
          <w:numId w:val="2"/>
        </w:numPr>
        <w:spacing w:after="60"/>
      </w:pPr>
      <w:r>
        <w:rPr>
          <w:rFonts w:ascii="Arial" w:cs="Arial" w:eastAsia="Arial" w:hAnsi="Arial"/>
          <w:sz w:val="22"/>
          <w:szCs w:val="22"/>
        </w:rPr>
        <w:t xml:space="preserve">Substantially modify the approved plans and specifications of the Project;</w:t>
      </w:r>
    </w:p>
    <w:p>
      <w:pPr>
        <w:pStyle w:val="ListParagraph"/>
        <w:numPr>
          <w:ilvl w:val="0"/>
          <w:numId w:val="2"/>
        </w:numPr>
        <w:spacing w:after="60"/>
      </w:pPr>
      <w:r>
        <w:rPr>
          <w:rFonts w:ascii="Arial" w:cs="Arial" w:eastAsia="Arial" w:hAnsi="Arial"/>
          <w:sz w:val="22"/>
          <w:szCs w:val="22"/>
        </w:rPr>
        <w:t xml:space="preserve">Change the general contractor or any major subcontractor;</w:t>
      </w:r>
    </w:p>
    <w:p>
      <w:pPr>
        <w:pStyle w:val="ListParagraph"/>
        <w:numPr>
          <w:ilvl w:val="0"/>
          <w:numId w:val="2"/>
        </w:numPr>
        <w:spacing w:after="60"/>
      </w:pPr>
      <w:r>
        <w:rPr>
          <w:rFonts w:ascii="Arial" w:cs="Arial" w:eastAsia="Arial" w:hAnsi="Arial"/>
          <w:sz w:val="22"/>
          <w:szCs w:val="22"/>
        </w:rPr>
        <w:t xml:space="preserve">Sell, alienate, subdivide, fragment, or consolidate the Property;</w:t>
      </w:r>
    </w:p>
    <w:p>
      <w:pPr>
        <w:pStyle w:val="ListParagraph"/>
        <w:numPr>
          <w:ilvl w:val="0"/>
          <w:numId w:val="2"/>
        </w:numPr>
        <w:spacing w:after="60"/>
      </w:pPr>
      <w:r>
        <w:rPr>
          <w:rFonts w:ascii="Arial" w:cs="Arial" w:eastAsia="Arial" w:hAnsi="Arial"/>
          <w:sz w:val="22"/>
          <w:szCs w:val="22"/>
        </w:rPr>
        <w:t xml:space="preserve">Modify the zoning or development rights;</w:t>
      </w:r>
    </w:p>
    <w:p>
      <w:pPr>
        <w:pStyle w:val="ListParagraph"/>
        <w:numPr>
          <w:ilvl w:val="0"/>
          <w:numId w:val="2"/>
        </w:numPr>
        <w:spacing w:after="60"/>
      </w:pPr>
      <w:r>
        <w:rPr>
          <w:rFonts w:ascii="Arial" w:cs="Arial" w:eastAsia="Arial" w:hAnsi="Arial"/>
          <w:sz w:val="22"/>
          <w:szCs w:val="22"/>
        </w:rPr>
        <w:t xml:space="preserve">Enter into any sale agreement, promise of sale, or long-term lease.</w:t>
      </w:r>
    </w:p>
    <w:p>
      <w:pPr>
        <w:keepNext/>
        <w:spacing w:after="60" w:before="180"/>
      </w:pPr>
      <w:r>
        <w:rPr>
          <w:rFonts w:ascii="Arial" w:cs="Arial" w:eastAsia="Arial" w:hAnsi="Arial"/>
          <w:b/>
          <w:bCs/>
          <w:sz w:val="22"/>
          <w:szCs w:val="22"/>
        </w:rPr>
        <w:t xml:space="preserve">4.7  Registration</w:t>
      </w:r>
    </w:p>
    <w:p>
      <w:pPr>
        <w:spacing w:after="100" w:line="280"/>
        <w:jc w:val="both"/>
      </w:pPr>
      <w:r>
        <w:rPr>
          <w:rFonts w:ascii="Arial" w:cs="Arial" w:eastAsia="Arial" w:hAnsi="Arial"/>
          <w:sz w:val="22"/>
          <w:szCs w:val="22"/>
        </w:rPr>
        <w:t xml:space="preserve">This deed shall be published at the Land Registry, registration division of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at the expense of the Borrower.</w:t>
      </w:r>
    </w:p>
    <w:p>
      <w:pPr>
        <w:keepNext/>
        <w:spacing w:after="120" w:before="240"/>
      </w:pPr>
      <w:r>
        <w:rPr>
          <w:rFonts w:ascii="Arial" w:cs="Arial" w:eastAsia="Arial" w:hAnsi="Arial"/>
          <w:b/>
          <w:bCs/>
          <w:sz w:val="24"/>
          <w:szCs w:val="24"/>
        </w:rPr>
        <w:t xml:space="preserve">ARTICLE 5 — SPECIFIC CONSTRUCTION PROVISIONS</w:t>
      </w:r>
    </w:p>
    <w:p>
      <w:pPr>
        <w:keepNext/>
        <w:spacing w:after="60" w:before="180"/>
      </w:pPr>
      <w:r>
        <w:rPr>
          <w:rFonts w:ascii="Arial" w:cs="Arial" w:eastAsia="Arial" w:hAnsi="Arial"/>
          <w:b/>
          <w:bCs/>
          <w:sz w:val="22"/>
          <w:szCs w:val="22"/>
        </w:rPr>
        <w:t xml:space="preserve">5.1  Regulatory Compliance and Permits</w:t>
      </w:r>
    </w:p>
    <w:p>
      <w:pPr>
        <w:spacing w:after="100" w:line="280"/>
        <w:jc w:val="both"/>
      </w:pPr>
      <w:r>
        <w:rPr>
          <w:rFonts w:ascii="Arial" w:cs="Arial" w:eastAsia="Arial" w:hAnsi="Arial"/>
          <w:sz w:val="22"/>
          <w:szCs w:val="22"/>
        </w:rPr>
        <w:t xml:space="preserve">The Borrower represents and warrants that the Project complies with all applicable municipal regulations, provincial laws (including the Building Act and RBQ standards), and the requirements of the Régie du bâtiment du Québec. The Borrower undertakes to maintain all permits in force and to provide the Lender with copies of any official communication received in this regard.</w:t>
      </w:r>
    </w:p>
    <w:p>
      <w:pPr>
        <w:keepNext/>
        <w:spacing w:after="60" w:before="180"/>
      </w:pPr>
      <w:r>
        <w:rPr>
          <w:rFonts w:ascii="Arial" w:cs="Arial" w:eastAsia="Arial" w:hAnsi="Arial"/>
          <w:b/>
          <w:bCs/>
          <w:sz w:val="22"/>
          <w:szCs w:val="22"/>
        </w:rPr>
        <w:t xml:space="preserve">5.2  Site Supervision</w:t>
      </w:r>
    </w:p>
    <w:p>
      <w:pPr>
        <w:spacing w:after="100" w:line="280"/>
        <w:jc w:val="both"/>
      </w:pPr>
      <w:r>
        <w:rPr>
          <w:rFonts w:ascii="Arial" w:cs="Arial" w:eastAsia="Arial" w:hAnsi="Arial"/>
          <w:sz w:val="22"/>
          <w:szCs w:val="22"/>
        </w:rPr>
        <w:t xml:space="preserve">The Lender, or its designated representative, shall have the right to inspect the construction site at any time with reasonable forty-eight (48) hours' advance notice, and to review all site documents (invoices, certificates, site logbook, photographs, etc.). The Borrower undertakes to cooperate fully with such inspections.</w:t>
      </w:r>
    </w:p>
    <w:p>
      <w:pPr>
        <w:keepNext/>
        <w:spacing w:after="60" w:before="180"/>
      </w:pPr>
      <w:r>
        <w:rPr>
          <w:rFonts w:ascii="Arial" w:cs="Arial" w:eastAsia="Arial" w:hAnsi="Arial"/>
          <w:b/>
          <w:bCs/>
          <w:sz w:val="22"/>
          <w:szCs w:val="22"/>
        </w:rPr>
        <w:t xml:space="preserve">5.3  Legal Hypothecs of Construction — ZERO TOLERANCE</w:t>
      </w:r>
    </w:p>
    <w:p>
      <w:pPr>
        <w:spacing w:after="100" w:line="280"/>
        <w:jc w:val="both"/>
      </w:pPr>
      <w:r>
        <w:rPr>
          <w:rFonts w:ascii="Arial" w:cs="Arial" w:eastAsia="Arial" w:hAnsi="Arial"/>
          <w:sz w:val="22"/>
          <w:szCs w:val="22"/>
        </w:rPr>
        <w:t xml:space="preserve">The Borrower strictly undertakes to pay punctually all suppliers, subcontractors, workers, and professionals involved in the Project, in order to prevent the registration of any legal hypothec of construction (art. 2724 and 2726 C.C.Q.).</w:t>
      </w:r>
    </w:p>
    <w:p>
      <w:pPr>
        <w:spacing w:after="100" w:line="280"/>
        <w:jc w:val="both"/>
      </w:pPr>
      <w:r>
        <w:rPr>
          <w:rFonts w:ascii="Arial" w:cs="Arial" w:eastAsia="Arial" w:hAnsi="Arial"/>
          <w:b/>
          <w:bCs/>
          <w:sz w:val="22"/>
          <w:szCs w:val="22"/>
        </w:rPr>
        <w:t xml:space="preserve">NO legal hypothec of construction is tolerated. The Borrower undertakes to settle or have any registered legal hypothec discharged immediately upon being notified, and at the latest within seven (7) days of a written notice from the Lender (or sooner if the situation requires, in the Lender's sole judgment). Failing this, an Event of Default shall be automatically declared, and the Lender may, at its sole discretion: (i) directly pay the claim and add the amount to the principal of the Loan with interest at the default rate; (ii) suspend any future disbursement; (iii) declare the Loan immediately due and payable and exercise all hypothecary remedies.</w:t>
      </w:r>
    </w:p>
    <w:p>
      <w:pPr>
        <w:keepNext/>
        <w:spacing w:after="60" w:before="180"/>
      </w:pPr>
      <w:r>
        <w:rPr>
          <w:rFonts w:ascii="Arial" w:cs="Arial" w:eastAsia="Arial" w:hAnsi="Arial"/>
          <w:b/>
          <w:bCs/>
          <w:sz w:val="22"/>
          <w:szCs w:val="22"/>
        </w:rPr>
        <w:t xml:space="preserve">5.3.1  Taxes, Charges, and Current Obligations — ZERO TOLERANCE</w:t>
      </w:r>
    </w:p>
    <w:p>
      <w:pPr>
        <w:spacing w:after="100" w:line="280"/>
        <w:jc w:val="both"/>
      </w:pPr>
      <w:r>
        <w:rPr>
          <w:rFonts w:ascii="Arial" w:cs="Arial" w:eastAsia="Arial" w:hAnsi="Arial"/>
          <w:sz w:val="22"/>
          <w:szCs w:val="22"/>
        </w:rPr>
        <w:t xml:space="preserve">The Borrower undertakes to pay punctually when due all property taxes, school taxes, local improvement charges, municipal charges, insurance premiums, and any other current obligations affecting the Property.</w:t>
      </w:r>
    </w:p>
    <w:p>
      <w:pPr>
        <w:spacing w:after="100" w:line="280"/>
        <w:jc w:val="both"/>
      </w:pPr>
      <w:r>
        <w:rPr>
          <w:rFonts w:ascii="Arial" w:cs="Arial" w:eastAsia="Arial" w:hAnsi="Arial"/>
          <w:b/>
          <w:bCs/>
          <w:sz w:val="22"/>
          <w:szCs w:val="22"/>
        </w:rPr>
        <w:t xml:space="preserve">NO delay is tolerated. In the event of any delay or default in payment of any of these obligations, the Borrower undertakes to remedy the situation immediately upon being notified, and at the latest within seven (7) days of a written notice from the Lender. Failing this, an Event of Default shall be automatically declared, and the Lender may: (i) directly pay the claim and add the amount to the principal of the Loan with interest at the default rate; (ii) suspend any future disbursement; (iii) declare the Loan immediately due and payable and exercise all remedies.</w:t>
      </w:r>
    </w:p>
    <w:p>
      <w:pPr>
        <w:keepNext/>
        <w:spacing w:after="60" w:before="180"/>
      </w:pPr>
      <w:r>
        <w:rPr>
          <w:rFonts w:ascii="Arial" w:cs="Arial" w:eastAsia="Arial" w:hAnsi="Arial"/>
          <w:b/>
          <w:bCs/>
          <w:sz w:val="22"/>
          <w:szCs w:val="22"/>
        </w:rPr>
        <w:t xml:space="preserve">5.4  Construction Schedule and Milestones</w:t>
      </w:r>
    </w:p>
    <w:p>
      <w:pPr>
        <w:spacing w:after="100" w:line="280"/>
        <w:jc w:val="both"/>
      </w:pPr>
      <w:r>
        <w:rPr>
          <w:rFonts w:ascii="Arial" w:cs="Arial" w:eastAsia="Arial" w:hAnsi="Arial"/>
          <w:sz w:val="22"/>
          <w:szCs w:val="22"/>
        </w:rPr>
        <w:t xml:space="preserve">The Borrower undertakes to comply with the Project realization schedule attached as Schedule E. Any delay of more than sixty (60) days on a major milestone must be the subject of a written notice with reasons given to the Lender.</w:t>
      </w:r>
    </w:p>
    <w:p>
      <w:pPr>
        <w:keepNext/>
        <w:spacing w:after="60" w:before="180"/>
      </w:pPr>
      <w:r>
        <w:rPr>
          <w:rFonts w:ascii="Arial" w:cs="Arial" w:eastAsia="Arial" w:hAnsi="Arial"/>
          <w:b/>
          <w:bCs/>
          <w:sz w:val="22"/>
          <w:szCs w:val="22"/>
        </w:rPr>
        <w:t xml:space="preserve">5.5  Project Modifications (Change Orders)</w:t>
      </w:r>
    </w:p>
    <w:p>
      <w:pPr>
        <w:spacing w:after="100" w:line="280"/>
        <w:jc w:val="both"/>
      </w:pPr>
      <w:r>
        <w:rPr>
          <w:rFonts w:ascii="Arial" w:cs="Arial" w:eastAsia="Arial" w:hAnsi="Arial"/>
          <w:sz w:val="22"/>
          <w:szCs w:val="22"/>
        </w:rPr>
        <w:t xml:space="preserve">Any change order or modification to the Project resulting in a cost overrun greater than CAD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(or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the total budget) requires the prior written authorization of the Lender.</w:t>
      </w:r>
    </w:p>
    <w:p>
      <w:pPr>
        <w:keepNext/>
        <w:spacing w:after="60" w:before="180"/>
      </w:pPr>
      <w:r>
        <w:rPr>
          <w:rFonts w:ascii="Arial" w:cs="Arial" w:eastAsia="Arial" w:hAnsi="Arial"/>
          <w:b/>
          <w:bCs/>
          <w:sz w:val="22"/>
          <w:szCs w:val="22"/>
        </w:rPr>
        <w:t xml:space="preserve">5.6  Construction Site Insurance</w:t>
      </w:r>
    </w:p>
    <w:p>
      <w:pPr>
        <w:spacing w:after="100" w:line="280"/>
        <w:jc w:val="both"/>
      </w:pPr>
      <w:r>
        <w:rPr>
          <w:rFonts w:ascii="Arial" w:cs="Arial" w:eastAsia="Arial" w:hAnsi="Arial"/>
          <w:sz w:val="22"/>
          <w:szCs w:val="22"/>
        </w:rPr>
        <w:t xml:space="preserve">The Borrower shall maintain in force, throughout the duration of the works and until release of the holdback, the following insurance, with Capital Norvex designated as additional insured or loss payee:</w:t>
      </w:r>
    </w:p>
    <w:p>
      <w:pPr>
        <w:pStyle w:val="ListParagraph"/>
        <w:numPr>
          <w:ilvl w:val="0"/>
          <w:numId w:val="2"/>
        </w:numPr>
        <w:spacing w:after="60"/>
      </w:pPr>
      <w:r>
        <w:rPr>
          <w:rFonts w:ascii="Arial" w:cs="Arial" w:eastAsia="Arial" w:hAnsi="Arial"/>
          <w:sz w:val="22"/>
          <w:szCs w:val="22"/>
        </w:rPr>
        <w:t xml:space="preserve">Builder's Risk insurance (all risks);</w:t>
      </w:r>
    </w:p>
    <w:p>
      <w:pPr>
        <w:pStyle w:val="ListParagraph"/>
        <w:numPr>
          <w:ilvl w:val="0"/>
          <w:numId w:val="2"/>
        </w:numPr>
        <w:spacing w:after="60"/>
      </w:pPr>
      <w:r>
        <w:rPr>
          <w:rFonts w:ascii="Arial" w:cs="Arial" w:eastAsia="Arial" w:hAnsi="Arial"/>
          <w:sz w:val="22"/>
          <w:szCs w:val="22"/>
        </w:rPr>
        <w:t xml:space="preserve">General civil liability insurance of at least CAD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Contractor's liability insurance and performance bond;</w:t>
      </w:r>
    </w:p>
    <w:p>
      <w:pPr>
        <w:pStyle w:val="ListParagraph"/>
        <w:numPr>
          <w:ilvl w:val="0"/>
          <w:numId w:val="2"/>
        </w:numPr>
        <w:spacing w:after="60"/>
      </w:pPr>
      <w:r>
        <w:rPr>
          <w:rFonts w:ascii="Arial" w:cs="Arial" w:eastAsia="Arial" w:hAnsi="Arial"/>
          <w:sz w:val="22"/>
          <w:szCs w:val="22"/>
        </w:rPr>
        <w:t xml:space="preserve">Any other insurance required by competent authorities.</w:t>
      </w:r>
    </w:p>
    <w:p>
      <w:pPr>
        <w:keepNext/>
        <w:spacing w:after="60" w:before="180"/>
      </w:pPr>
      <w:r>
        <w:rPr>
          <w:rFonts w:ascii="Arial" w:cs="Arial" w:eastAsia="Arial" w:hAnsi="Arial"/>
          <w:b/>
          <w:bCs/>
          <w:sz w:val="22"/>
          <w:szCs w:val="22"/>
        </w:rPr>
        <w:t xml:space="preserve">5.7  Construction Warranties</w:t>
      </w:r>
    </w:p>
    <w:p>
      <w:pPr>
        <w:spacing w:after="100" w:line="280"/>
        <w:jc w:val="both"/>
      </w:pPr>
      <w:r>
        <w:rPr>
          <w:rFonts w:ascii="Arial" w:cs="Arial" w:eastAsia="Arial" w:hAnsi="Arial"/>
          <w:sz w:val="22"/>
          <w:szCs w:val="22"/>
        </w:rPr>
        <w:t xml:space="preserve">Where applicable (residential construction), the Project shall be registered with the Garantie de construction résidentielle (GCR) or other applicable warranty program, with proof of registration provided to the Lender.</w:t>
      </w:r>
    </w:p>
    <w:p>
      <w:pPr>
        <w:keepNext/>
        <w:spacing w:after="120" w:before="240"/>
      </w:pPr>
      <w:r>
        <w:rPr>
          <w:rFonts w:ascii="Arial" w:cs="Arial" w:eastAsia="Arial" w:hAnsi="Arial"/>
          <w:b/>
          <w:bCs/>
          <w:sz w:val="24"/>
          <w:szCs w:val="24"/>
        </w:rPr>
        <w:t xml:space="preserve">ARTICLE 6 — EVENTS OF DEFAULT</w:t>
      </w:r>
    </w:p>
    <w:p>
      <w:pPr>
        <w:keepNext/>
        <w:spacing w:after="60" w:before="180"/>
      </w:pPr>
      <w:r>
        <w:rPr>
          <w:rFonts w:ascii="Arial" w:cs="Arial" w:eastAsia="Arial" w:hAnsi="Arial"/>
          <w:b/>
          <w:bCs/>
          <w:sz w:val="22"/>
          <w:szCs w:val="22"/>
        </w:rPr>
        <w:t xml:space="preserve">6.1  Definition</w:t>
      </w:r>
    </w:p>
    <w:p>
      <w:pPr>
        <w:spacing w:after="100" w:line="280"/>
        <w:jc w:val="both"/>
      </w:pPr>
      <w:r>
        <w:rPr>
          <w:rFonts w:ascii="Arial" w:cs="Arial" w:eastAsia="Arial" w:hAnsi="Arial"/>
          <w:sz w:val="22"/>
          <w:szCs w:val="22"/>
        </w:rPr>
        <w:t xml:space="preserve">The following constitute Events of Default, without prior notice or formal demand other than as provided by law:</w:t>
      </w:r>
    </w:p>
    <w:p>
      <w:pPr>
        <w:pStyle w:val="ListParagraph"/>
        <w:numPr>
          <w:ilvl w:val="0"/>
          <w:numId w:val="2"/>
        </w:numPr>
        <w:spacing w:after="60"/>
      </w:pPr>
      <w:r>
        <w:rPr>
          <w:rFonts w:ascii="Arial" w:cs="Arial" w:eastAsia="Arial" w:hAnsi="Arial"/>
          <w:sz w:val="22"/>
          <w:szCs w:val="22"/>
        </w:rPr>
        <w:t xml:space="preserve">Any payment default at maturity;</w:t>
      </w:r>
    </w:p>
    <w:p>
      <w:pPr>
        <w:pStyle w:val="ListParagraph"/>
        <w:numPr>
          <w:ilvl w:val="0"/>
          <w:numId w:val="2"/>
        </w:numPr>
        <w:spacing w:after="60"/>
      </w:pPr>
      <w:r>
        <w:rPr>
          <w:rFonts w:ascii="Arial" w:cs="Arial" w:eastAsia="Arial" w:hAnsi="Arial"/>
          <w:sz w:val="22"/>
          <w:szCs w:val="22"/>
        </w:rPr>
        <w:t xml:space="preserve">Any delay of more than ninety (90) days on the completion schedule;</w:t>
      </w:r>
    </w:p>
    <w:p>
      <w:pPr>
        <w:pStyle w:val="ListParagraph"/>
        <w:numPr>
          <w:ilvl w:val="0"/>
          <w:numId w:val="2"/>
        </w:numPr>
        <w:spacing w:after="60"/>
      </w:pPr>
      <w:r>
        <w:rPr>
          <w:rFonts w:ascii="Arial" w:cs="Arial" w:eastAsia="Arial" w:hAnsi="Arial"/>
          <w:sz w:val="22"/>
          <w:szCs w:val="22"/>
        </w:rPr>
        <w:t xml:space="preserve">Any material modification to the Project without prior written authorization of the Lender;</w:t>
      </w:r>
    </w:p>
    <w:p>
      <w:pPr>
        <w:pStyle w:val="ListParagraph"/>
        <w:numPr>
          <w:ilvl w:val="0"/>
          <w:numId w:val="2"/>
        </w:numPr>
        <w:spacing w:after="60"/>
      </w:pPr>
      <w:r>
        <w:rPr>
          <w:rFonts w:ascii="Arial" w:cs="Arial" w:eastAsia="Arial" w:hAnsi="Arial"/>
          <w:sz w:val="22"/>
          <w:szCs w:val="22"/>
        </w:rPr>
        <w:t xml:space="preserve">Registration of any legal hypothec of construction not discharged within seven (7) days of notice from the Lender (zero tolerance — see Article 5.3);</w:t>
      </w:r>
    </w:p>
    <w:p>
      <w:pPr>
        <w:pStyle w:val="ListParagraph"/>
        <w:numPr>
          <w:ilvl w:val="0"/>
          <w:numId w:val="2"/>
        </w:numPr>
        <w:spacing w:after="60"/>
      </w:pPr>
      <w:r>
        <w:rPr>
          <w:rFonts w:ascii="Arial" w:cs="Arial" w:eastAsia="Arial" w:hAnsi="Arial"/>
          <w:sz w:val="22"/>
          <w:szCs w:val="22"/>
        </w:rPr>
        <w:t xml:space="preserve">Any delay or default in payment of property taxes, school taxes, municipal charges, insurance premiums, or other current obligations not remedied within seven (7) days of notice from the Lender (zero tolerance — see Article 5.3.1);</w:t>
      </w:r>
    </w:p>
    <w:p>
      <w:pPr>
        <w:pStyle w:val="ListParagraph"/>
        <w:numPr>
          <w:ilvl w:val="0"/>
          <w:numId w:val="2"/>
        </w:numPr>
        <w:spacing w:after="60"/>
      </w:pPr>
      <w:r>
        <w:rPr>
          <w:rFonts w:ascii="Arial" w:cs="Arial" w:eastAsia="Arial" w:hAnsi="Arial"/>
          <w:sz w:val="22"/>
          <w:szCs w:val="22"/>
        </w:rPr>
        <w:t xml:space="preserve">Suspension of works for a continuous period exceeding thirty (30) days without reason acceptable to the Lender;</w:t>
      </w:r>
    </w:p>
    <w:p>
      <w:pPr>
        <w:pStyle w:val="ListParagraph"/>
        <w:numPr>
          <w:ilvl w:val="0"/>
          <w:numId w:val="2"/>
        </w:numPr>
        <w:spacing w:after="60"/>
      </w:pPr>
      <w:r>
        <w:rPr>
          <w:rFonts w:ascii="Arial" w:cs="Arial" w:eastAsia="Arial" w:hAnsi="Arial"/>
          <w:sz w:val="22"/>
          <w:szCs w:val="22"/>
        </w:rPr>
        <w:t xml:space="preserve">Failure to maintain in force the required insurance and permits;</w:t>
      </w:r>
    </w:p>
    <w:p>
      <w:pPr>
        <w:pStyle w:val="ListParagraph"/>
        <w:numPr>
          <w:ilvl w:val="0"/>
          <w:numId w:val="2"/>
        </w:numPr>
        <w:spacing w:after="60"/>
      </w:pPr>
      <w:r>
        <w:rPr>
          <w:rFonts w:ascii="Arial" w:cs="Arial" w:eastAsia="Arial" w:hAnsi="Arial"/>
          <w:sz w:val="22"/>
          <w:szCs w:val="22"/>
        </w:rPr>
        <w:t xml:space="preserve">Any material misrepresentation by the Borrower;</w:t>
      </w:r>
    </w:p>
    <w:p>
      <w:pPr>
        <w:pStyle w:val="ListParagraph"/>
        <w:numPr>
          <w:ilvl w:val="0"/>
          <w:numId w:val="2"/>
        </w:numPr>
        <w:spacing w:after="60"/>
      </w:pPr>
      <w:r>
        <w:rPr>
          <w:rFonts w:ascii="Arial" w:cs="Arial" w:eastAsia="Arial" w:hAnsi="Arial"/>
          <w:sz w:val="22"/>
          <w:szCs w:val="22"/>
        </w:rPr>
        <w:t xml:space="preserve">Insolvency, bankruptcy, or receivership of the Borrower;</w:t>
      </w:r>
    </w:p>
    <w:p>
      <w:pPr>
        <w:pStyle w:val="ListParagraph"/>
        <w:numPr>
          <w:ilvl w:val="0"/>
          <w:numId w:val="2"/>
        </w:numPr>
        <w:spacing w:after="60"/>
      </w:pPr>
      <w:r>
        <w:rPr>
          <w:rFonts w:ascii="Arial" w:cs="Arial" w:eastAsia="Arial" w:hAnsi="Arial"/>
          <w:sz w:val="22"/>
          <w:szCs w:val="22"/>
        </w:rPr>
        <w:t xml:space="preserve">Any other breach of the obligations under this deed not remedied within fifteen (15) days of notice from the Lender.</w:t>
      </w:r>
    </w:p>
    <w:p>
      <w:pPr>
        <w:keepNext/>
        <w:spacing w:after="60" w:before="180"/>
      </w:pPr>
      <w:r>
        <w:rPr>
          <w:rFonts w:ascii="Arial" w:cs="Arial" w:eastAsia="Arial" w:hAnsi="Arial"/>
          <w:b/>
          <w:bCs/>
          <w:sz w:val="22"/>
          <w:szCs w:val="22"/>
        </w:rPr>
        <w:t xml:space="preserve">6.2  Remedies</w:t>
      </w:r>
    </w:p>
    <w:p>
      <w:pPr>
        <w:spacing w:after="100" w:line="280"/>
        <w:jc w:val="both"/>
      </w:pPr>
      <w:r>
        <w:rPr>
          <w:rFonts w:ascii="Arial" w:cs="Arial" w:eastAsia="Arial" w:hAnsi="Arial"/>
          <w:sz w:val="22"/>
          <w:szCs w:val="22"/>
        </w:rPr>
        <w:t xml:space="preserve">Upon an Event of Default, the Lender may, at its sole discretion: (i) suspend any future disbursement; (ii) declare the Loan immediately due and payable; (iii) take possession of the construction site and complete the works at the Borrower's expense; (iv) exercise all hypothecary remedies (art. 2748 et seq. C.C.Q.), including taking in payment, sale by judicial authority, and sale by the creditor; (v) enforce the suretyships; (vi) cumulate remedies.</w:t>
      </w:r>
    </w:p>
    <w:p>
      <w:pPr>
        <w:keepNext/>
        <w:spacing w:after="120" w:before="240"/>
      </w:pPr>
      <w:r>
        <w:rPr>
          <w:rFonts w:ascii="Arial" w:cs="Arial" w:eastAsia="Arial" w:hAnsi="Arial"/>
          <w:b/>
          <w:bCs/>
          <w:sz w:val="24"/>
          <w:szCs w:val="24"/>
        </w:rPr>
        <w:t xml:space="preserve">ARTICLE 7 — PERSONAL SURETYSHIP (IF APPLICABLE)</w:t>
      </w:r>
    </w:p>
    <w:p>
      <w:pPr>
        <w:spacing w:after="100" w:line="280"/>
        <w:jc w:val="both"/>
      </w:pPr>
      <w:r>
        <w:rPr>
          <w:rFonts w:ascii="Arial" w:cs="Arial" w:eastAsia="Arial" w:hAnsi="Arial"/>
          <w:sz w:val="22"/>
          <w:szCs w:val="22"/>
        </w:rPr>
        <w:t xml:space="preserve">The Guarantor(s) hereby become(s) joint and several surety(ies) for all obligations of the Borrower hereunder, without benefit of discussion or division (art. 2333 et seq. C.C.Q.). This suretyship covers in particular cost overruns, payment of suppliers, and completion of works.</w:t>
      </w:r>
    </w:p>
    <w:p>
      <w:pPr>
        <w:keepNext/>
        <w:spacing w:after="120" w:before="240"/>
      </w:pPr>
      <w:r>
        <w:rPr>
          <w:rFonts w:ascii="Arial" w:cs="Arial" w:eastAsia="Arial" w:hAnsi="Arial"/>
          <w:b/>
          <w:bCs/>
          <w:sz w:val="24"/>
          <w:szCs w:val="24"/>
        </w:rPr>
        <w:t xml:space="preserve">ARTICLE 8 — GENERAL PROVISIONS</w:t>
      </w:r>
    </w:p>
    <w:p>
      <w:pPr>
        <w:keepNext/>
        <w:spacing w:after="60" w:before="180"/>
      </w:pPr>
      <w:r>
        <w:rPr>
          <w:rFonts w:ascii="Arial" w:cs="Arial" w:eastAsia="Arial" w:hAnsi="Arial"/>
          <w:b/>
          <w:bCs/>
          <w:sz w:val="22"/>
          <w:szCs w:val="22"/>
        </w:rPr>
        <w:t xml:space="preserve">8.1  Governing Law</w:t>
      </w:r>
    </w:p>
    <w:p>
      <w:pPr>
        <w:spacing w:after="100" w:line="280"/>
        <w:jc w:val="both"/>
      </w:pPr>
      <w:r>
        <w:rPr>
          <w:rFonts w:ascii="Arial" w:cs="Arial" w:eastAsia="Arial" w:hAnsi="Arial"/>
          <w:sz w:val="22"/>
          <w:szCs w:val="22"/>
        </w:rPr>
        <w:t xml:space="preserve">This deed is governed by the laws of the Province of Québec. Any dispute shall be submitted to the courts of the district of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8.2  Language</w:t>
      </w:r>
    </w:p>
    <w:p>
      <w:pPr>
        <w:spacing w:after="100" w:line="280"/>
        <w:jc w:val="both"/>
      </w:pPr>
      <w:r>
        <w:rPr>
          <w:rFonts w:ascii="Arial" w:cs="Arial" w:eastAsia="Arial" w:hAnsi="Arial"/>
          <w:sz w:val="22"/>
          <w:szCs w:val="22"/>
        </w:rPr>
        <w:t xml:space="preserve">The Parties have required this deed to be drafted in English. Les parties ont requis la rédaction du présent acte en anglais.</w:t>
      </w:r>
    </w:p>
    <w:p>
      <w:pPr>
        <w:keepNext/>
        <w:spacing w:after="60" w:before="180"/>
      </w:pPr>
      <w:r>
        <w:rPr>
          <w:rFonts w:ascii="Arial" w:cs="Arial" w:eastAsia="Arial" w:hAnsi="Arial"/>
          <w:b/>
          <w:bCs/>
          <w:sz w:val="22"/>
          <w:szCs w:val="22"/>
        </w:rPr>
        <w:t xml:space="preserve">8.3  Notices</w:t>
      </w:r>
    </w:p>
    <w:p>
      <w:pPr>
        <w:spacing w:after="100" w:line="280"/>
        <w:jc w:val="both"/>
      </w:pPr>
      <w:r>
        <w:rPr>
          <w:rFonts w:ascii="Arial" w:cs="Arial" w:eastAsia="Arial" w:hAnsi="Arial"/>
          <w:sz w:val="22"/>
          <w:szCs w:val="22"/>
        </w:rPr>
        <w:t xml:space="preserve">Any notice shall be given by registered mail, email (with read receipt), or hand delivery to the addresses indicated in the heading of this deed.</w:t>
      </w:r>
    </w:p>
    <w:p>
      <w:pPr>
        <w:keepNext/>
        <w:spacing w:after="60" w:before="180"/>
      </w:pPr>
      <w:r>
        <w:rPr>
          <w:rFonts w:ascii="Arial" w:cs="Arial" w:eastAsia="Arial" w:hAnsi="Arial"/>
          <w:b/>
          <w:bCs/>
          <w:sz w:val="22"/>
          <w:szCs w:val="22"/>
        </w:rPr>
        <w:t xml:space="preserve">8.4  Fees</w:t>
      </w:r>
    </w:p>
    <w:p>
      <w:pPr>
        <w:spacing w:after="100" w:line="280"/>
        <w:jc w:val="both"/>
      </w:pPr>
      <w:r>
        <w:rPr>
          <w:rFonts w:ascii="Arial" w:cs="Arial" w:eastAsia="Arial" w:hAnsi="Arial"/>
          <w:sz w:val="22"/>
          <w:szCs w:val="22"/>
        </w:rPr>
        <w:t xml:space="preserve">All fees (notarial fees, registration, appraisal, inspection, soil study, insurance premiums, lawyers' fees in case of default) are at the exclusive expense of the Borrower.</w:t>
      </w:r>
    </w:p>
    <w:p>
      <w:pPr>
        <w:keepNext/>
        <w:spacing w:after="60" w:before="180"/>
      </w:pPr>
      <w:r>
        <w:rPr>
          <w:rFonts w:ascii="Arial" w:cs="Arial" w:eastAsia="Arial" w:hAnsi="Arial"/>
          <w:b/>
          <w:bCs/>
          <w:sz w:val="22"/>
          <w:szCs w:val="22"/>
        </w:rPr>
        <w:t xml:space="preserve">8.5  FINTRAC / PCMLTFA</w:t>
      </w:r>
    </w:p>
    <w:p>
      <w:pPr>
        <w:spacing w:after="100" w:line="280"/>
        <w:jc w:val="both"/>
      </w:pPr>
      <w:r>
        <w:rPr>
          <w:rFonts w:ascii="Arial" w:cs="Arial" w:eastAsia="Arial" w:hAnsi="Arial"/>
          <w:sz w:val="22"/>
          <w:szCs w:val="22"/>
        </w:rPr>
        <w:t xml:space="preserve">The Lender has carried out identity verification, source of funds verification, and required controls in accordance with the Proceeds of Crime (Money Laundering) and Terrorist Financing Act (PCMLTFA).</w:t>
      </w:r>
    </w:p>
    <w:p>
      <w:pPr>
        <w:keepNext/>
        <w:spacing w:after="60" w:before="180"/>
      </w:pPr>
      <w:r>
        <w:rPr>
          <w:rFonts w:ascii="Arial" w:cs="Arial" w:eastAsia="Arial" w:hAnsi="Arial"/>
          <w:b/>
          <w:bCs/>
          <w:sz w:val="22"/>
          <w:szCs w:val="22"/>
        </w:rPr>
        <w:t xml:space="preserve">8.6  Entire Agreement</w:t>
      </w:r>
    </w:p>
    <w:p>
      <w:pPr>
        <w:spacing w:after="100" w:line="280"/>
        <w:jc w:val="both"/>
      </w:pPr>
      <w:r>
        <w:rPr>
          <w:rFonts w:ascii="Arial" w:cs="Arial" w:eastAsia="Arial" w:hAnsi="Arial"/>
          <w:sz w:val="22"/>
          <w:szCs w:val="22"/>
        </w:rPr>
        <w:t xml:space="preserve">This deed, together with its schedules and the Loan Agreement referred to in Article 8.7, constitutes the entire agreement between the Parties with respect to the Loan and supersedes any prior verbal or written agreement.</w:t>
      </w:r>
    </w:p>
    <w:p>
      <w:pPr>
        <w:keepNext/>
        <w:spacing w:after="60" w:before="180"/>
      </w:pPr>
      <w:r>
        <w:rPr>
          <w:rFonts w:ascii="Arial" w:cs="Arial" w:eastAsia="Arial" w:hAnsi="Arial"/>
          <w:b/>
          <w:bCs/>
          <w:sz w:val="22"/>
          <w:szCs w:val="22"/>
        </w:rPr>
        <w:t xml:space="preserve">8.7  Indissociability with the Loan Agreement — FUNDAMENTAL CLAUSE</w:t>
      </w:r>
    </w:p>
    <w:p>
      <w:pPr>
        <w:spacing w:after="100" w:line="280"/>
        <w:jc w:val="both"/>
      </w:pPr>
      <w:r>
        <w:rPr>
          <w:rFonts w:ascii="Arial" w:cs="Arial" w:eastAsia="Arial" w:hAnsi="Arial"/>
          <w:b/>
          <w:bCs/>
          <w:sz w:val="22"/>
          <w:szCs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keepNext/>
        <w:spacing w:after="120" w:before="240"/>
      </w:pPr>
      <w:r>
        <w:rPr>
          <w:rFonts w:ascii="Arial" w:cs="Arial" w:eastAsia="Arial" w:hAnsi="Arial"/>
          <w:b/>
          <w:bCs/>
          <w:sz w:val="24"/>
          <w:szCs w:val="24"/>
        </w:rPr>
        <w:t xml:space="preserve">SCHEDULES</w:t>
      </w:r>
    </w:p>
    <w:p>
      <w:pPr>
        <w:pStyle w:val="ListParagraph"/>
        <w:numPr>
          <w:ilvl w:val="0"/>
          <w:numId w:val="2"/>
        </w:numPr>
        <w:spacing w:after="60"/>
      </w:pPr>
      <w:r>
        <w:rPr>
          <w:rFonts w:ascii="Arial" w:cs="Arial" w:eastAsia="Arial" w:hAnsi="Arial"/>
          <w:sz w:val="22"/>
          <w:szCs w:val="22"/>
        </w:rPr>
        <w:t xml:space="preserve">Schedule A — Complete Project description (summary plans and specifications)</w:t>
      </w:r>
    </w:p>
    <w:p>
      <w:pPr>
        <w:pStyle w:val="ListParagraph"/>
        <w:numPr>
          <w:ilvl w:val="0"/>
          <w:numId w:val="2"/>
        </w:numPr>
        <w:spacing w:after="60"/>
      </w:pPr>
      <w:r>
        <w:rPr>
          <w:rFonts w:ascii="Arial" w:cs="Arial" w:eastAsia="Arial" w:hAnsi="Arial"/>
          <w:sz w:val="22"/>
          <w:szCs w:val="22"/>
        </w:rPr>
        <w:t xml:space="preserve">Schedule B — Detailed construction budget and bids</w:t>
      </w:r>
    </w:p>
    <w:p>
      <w:pPr>
        <w:pStyle w:val="ListParagraph"/>
        <w:numPr>
          <w:ilvl w:val="0"/>
          <w:numId w:val="2"/>
        </w:numPr>
        <w:spacing w:after="60"/>
      </w:pPr>
      <w:r>
        <w:rPr>
          <w:rFonts w:ascii="Arial" w:cs="Arial" w:eastAsia="Arial" w:hAnsi="Arial"/>
          <w:sz w:val="22"/>
          <w:szCs w:val="22"/>
        </w:rPr>
        <w:t xml:space="preserve">Schedule C — Accredited AACI appraisal (at cost and stabilized value)</w:t>
      </w:r>
    </w:p>
    <w:p>
      <w:pPr>
        <w:pStyle w:val="ListParagraph"/>
        <w:numPr>
          <w:ilvl w:val="0"/>
          <w:numId w:val="2"/>
        </w:numPr>
        <w:spacing w:after="60"/>
      </w:pPr>
      <w:r>
        <w:rPr>
          <w:rFonts w:ascii="Arial" w:cs="Arial" w:eastAsia="Arial" w:hAnsi="Arial"/>
          <w:sz w:val="22"/>
          <w:szCs w:val="22"/>
        </w:rPr>
        <w:t xml:space="preserve">Schedule D — Soil study / Phase I environmental assessment</w:t>
      </w:r>
    </w:p>
    <w:p>
      <w:pPr>
        <w:pStyle w:val="ListParagraph"/>
        <w:numPr>
          <w:ilvl w:val="0"/>
          <w:numId w:val="2"/>
        </w:numPr>
        <w:spacing w:after="60"/>
      </w:pPr>
      <w:r>
        <w:rPr>
          <w:rFonts w:ascii="Arial" w:cs="Arial" w:eastAsia="Arial" w:hAnsi="Arial"/>
          <w:sz w:val="22"/>
          <w:szCs w:val="22"/>
        </w:rPr>
        <w:t xml:space="preserve">Schedule E — Realization schedule and construction milestones</w:t>
      </w:r>
    </w:p>
    <w:p>
      <w:pPr>
        <w:pStyle w:val="ListParagraph"/>
        <w:numPr>
          <w:ilvl w:val="0"/>
          <w:numId w:val="2"/>
        </w:numPr>
        <w:spacing w:after="60"/>
      </w:pPr>
      <w:r>
        <w:rPr>
          <w:rFonts w:ascii="Arial" w:cs="Arial" w:eastAsia="Arial" w:hAnsi="Arial"/>
          <w:sz w:val="22"/>
          <w:szCs w:val="22"/>
        </w:rPr>
        <w:t xml:space="preserve">Schedule F — Building permits and municipal authorizations</w:t>
      </w:r>
    </w:p>
    <w:p>
      <w:pPr>
        <w:pStyle w:val="ListParagraph"/>
        <w:numPr>
          <w:ilvl w:val="0"/>
          <w:numId w:val="2"/>
        </w:numPr>
        <w:spacing w:after="60"/>
      </w:pPr>
      <w:r>
        <w:rPr>
          <w:rFonts w:ascii="Arial" w:cs="Arial" w:eastAsia="Arial" w:hAnsi="Arial"/>
          <w:sz w:val="22"/>
          <w:szCs w:val="22"/>
        </w:rPr>
        <w:t xml:space="preserve">Schedule G — Builder's Risk and liability insurance policies</w:t>
      </w:r>
    </w:p>
    <w:p>
      <w:pPr>
        <w:pStyle w:val="ListParagraph"/>
        <w:numPr>
          <w:ilvl w:val="0"/>
          <w:numId w:val="2"/>
        </w:numPr>
        <w:spacing w:after="60"/>
      </w:pPr>
      <w:r>
        <w:rPr>
          <w:rFonts w:ascii="Arial" w:cs="Arial" w:eastAsia="Arial" w:hAnsi="Arial"/>
          <w:sz w:val="22"/>
          <w:szCs w:val="22"/>
        </w:rPr>
        <w:t xml:space="preserve">Schedule H — Performance bond and warranties (GCR / RBQ where applicable)</w:t>
      </w:r>
    </w:p>
    <w:p>
      <w:pPr>
        <w:pStyle w:val="ListParagraph"/>
        <w:numPr>
          <w:ilvl w:val="0"/>
          <w:numId w:val="2"/>
        </w:numPr>
        <w:spacing w:after="60"/>
      </w:pPr>
      <w:r>
        <w:rPr>
          <w:rFonts w:ascii="Arial" w:cs="Arial" w:eastAsia="Arial" w:hAnsi="Arial"/>
          <w:sz w:val="22"/>
          <w:szCs w:val="22"/>
        </w:rPr>
        <w:t xml:space="preserve">Schedule I — Personal suretyship of Guarantors (if applicable)</w:t>
      </w:r>
    </w:p>
    <w:p>
      <w:pPr>
        <w:pStyle w:val="ListParagraph"/>
        <w:numPr>
          <w:ilvl w:val="0"/>
          <w:numId w:val="2"/>
        </w:numPr>
        <w:spacing w:after="60"/>
      </w:pPr>
      <w:r>
        <w:rPr>
          <w:rFonts w:ascii="Arial" w:cs="Arial" w:eastAsia="Arial" w:hAnsi="Arial"/>
          <w:sz w:val="22"/>
          <w:szCs w:val="22"/>
        </w:rPr>
        <w:t xml:space="preserve">Schedule J — Corporate resolution of Capital Norvex Inc. designating the signing representative</w:t>
      </w:r>
    </w:p>
    <w:p>
      <w:pPr>
        <w:keepNext/>
        <w:spacing w:after="120" w:before="240"/>
      </w:pPr>
      <w:r>
        <w:rPr>
          <w:rFonts w:ascii="Arial" w:cs="Arial" w:eastAsia="Arial" w:hAnsi="Arial"/>
          <w:b/>
          <w:bCs/>
          <w:sz w:val="24"/>
          <w:szCs w:val="24"/>
        </w:rPr>
        <w:t xml:space="preserve">SIGNATURES AND NOTARIAL CERTIFICATION</w:t>
      </w:r>
    </w:p>
    <w:p>
      <w:pPr>
        <w:spacing w:after="100" w:line="280"/>
        <w:jc w:val="both"/>
      </w:pPr>
      <w:r>
        <w:rPr>
          <w:rFonts w:ascii="Arial" w:cs="Arial" w:eastAsia="Arial" w:hAnsi="Arial"/>
          <w:sz w:val="22"/>
          <w:szCs w:val="22"/>
        </w:rPr>
        <w:t xml:space="preserve">IN WITNESS WHEREOF, the Parties have signed at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on the </w:t>
      </w:r>
      <w:r>
        <w:fldChar w:fldCharType="begin">
          <w:ffData>
            <w:name w:val="Field5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day of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00"/>
      </w:pPr>
      <w:r>
        <w:fldChar w:fldCharType="begin">
          <w:ffData>
            <w:name w:val="Field55"/>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The Lender</w:t>
      </w:r>
    </w:p>
    <w:p>
      <w:pPr>
        <w:spacing w:after="40"/>
      </w:pPr>
      <w:r>
        <w:rPr>
          <w:rFonts w:ascii="Arial" w:cs="Arial" w:eastAsia="Arial" w:hAnsi="Arial"/>
          <w:sz w:val="22"/>
          <w:szCs w:val="22"/>
        </w:rPr>
        <w:t xml:space="preserve">By: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(designated representative)</w:t>
      </w:r>
    </w:p>
    <w:p>
      <w:pPr>
        <w:spacing w:after="40"/>
      </w:pPr>
      <w:r>
        <w:rPr>
          <w:rFonts w:ascii="Arial" w:cs="Arial" w:eastAsia="Arial" w:hAnsi="Arial"/>
          <w:sz w:val="22"/>
          <w:szCs w:val="22"/>
        </w:rPr>
        <w:t xml:space="preserve">Title: </w:t>
      </w: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Pursuant to Corporate Resolution dated: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Signed by: Mrs. Suzanne Breton, sole shareholder and president</w:t>
      </w:r>
    </w:p>
    <w:p>
      <w:pPr>
        <w:spacing w:after="40"/>
      </w:pPr>
      <w:r>
        <w:rPr>
          <w:rFonts w:ascii="Arial" w:cs="Arial" w:eastAsia="Arial" w:hAnsi="Arial"/>
          <w:sz w:val="22"/>
          <w:szCs w:val="22"/>
        </w:rPr>
        <w:t xml:space="preserve">(Schedule J)</w:t>
      </w:r>
    </w:p>
    <w:p>
      <w:pPr>
        <w:spacing w:after="40" w:before="200"/>
      </w:pPr>
      <w:r>
        <w:fldChar w:fldCharType="begin">
          <w:ffData>
            <w:name w:val="Field59"/>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THE BORROWER</w:t>
      </w:r>
    </w:p>
    <w:p>
      <w:pPr>
        <w:spacing w:after="40"/>
      </w:pP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By: </w:t>
      </w: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Title: </w:t>
      </w:r>
      <w:r>
        <w:fldChar w:fldCharType="begin">
          <w:ffData>
            <w:name w:val="Field62"/>
            <w:enabled/>
            <w:calcOnExit w:val="0"/>
            <w:textInput/>
          </w:ffData>
        </w:fldChar>
      </w:r>
      <w:r>
        <w:instrText xml:space="preserve"> FORMTEXT </w:instrText>
      </w:r>
      <w:r>
        <w:fldChar w:fldCharType="separate"/>
      </w:r>
      <w:r>
        <w:t xml:space="preserve">_________________</w:t>
      </w:r>
      <w:r>
        <w:fldChar w:fldCharType="end"/>
      </w:r>
    </w:p>
    <w:p>
      <w:pPr>
        <w:spacing w:after="40" w:before="200"/>
      </w:pPr>
      <w:r>
        <w:fldChar w:fldCharType="begin">
          <w:ffData>
            <w:name w:val="Field63"/>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THE GUARANTOR (if applicable)</w:t>
      </w:r>
    </w:p>
    <w:p>
      <w:pPr>
        <w:spacing w:after="40"/>
      </w:pP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p>
    <w:p>
      <w:pPr>
        <w:keepNext/>
        <w:spacing w:after="120" w:before="240"/>
      </w:pPr>
      <w:r>
        <w:rPr>
          <w:rFonts w:ascii="Arial" w:cs="Arial" w:eastAsia="Arial" w:hAnsi="Arial"/>
          <w:b/>
          <w:bCs/>
          <w:sz w:val="24"/>
          <w:szCs w:val="24"/>
        </w:rPr>
        <w:t xml:space="preserve">CERTIFICATION OF THE INSTRUMENTING NOTARY</w:t>
      </w:r>
    </w:p>
    <w:p>
      <w:pPr>
        <w:spacing w:after="100" w:line="280"/>
        <w:jc w:val="both"/>
      </w:pPr>
      <w:r>
        <w:rPr>
          <w:rFonts w:ascii="Arial" w:cs="Arial" w:eastAsia="Arial" w:hAnsi="Arial"/>
          <w:sz w:val="22"/>
          <w:szCs w:val="22"/>
        </w:rPr>
        <w:t xml:space="preserve">I, THE UNDERSIGNED, </w:t>
      </w:r>
      <w:r>
        <w:fldChar w:fldCharType="begin">
          <w:ffData>
            <w:name w:val="Field6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notary practising in Québec, certify that I have received this deed in minute, verified the identity and capacity of the parties, and read it to them, and that they have approved and signed it in my presence.</w:t>
      </w:r>
    </w:p>
    <w:p>
      <w:pPr>
        <w:spacing w:after="40" w:before="200"/>
      </w:pPr>
      <w:r>
        <w:fldChar w:fldCharType="begin">
          <w:ffData>
            <w:name w:val="Field66"/>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6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Instrumenting Notary</w:t>
      </w:r>
    </w:p>
    <w:p>
      <w:pPr>
        <w:spacing w:after="40"/>
      </w:pPr>
      <w:r>
        <w:rPr>
          <w:rFonts w:ascii="Arial" w:cs="Arial" w:eastAsia="Arial" w:hAnsi="Arial"/>
          <w:sz w:val="22"/>
          <w:szCs w:val="22"/>
        </w:rPr>
        <w:t xml:space="preserve">Notarial file no.: </w:t>
      </w:r>
      <w:r>
        <w:fldChar w:fldCharType="begin">
          <w:ffData>
            <w:name w:val="Field68"/>
            <w:enabled/>
            <w:calcOnExit w:val="0"/>
            <w:textInput/>
          </w:ffData>
        </w:fldChar>
      </w:r>
      <w:r>
        <w:instrText xml:space="preserve"> FORMTEXT </w:instrText>
      </w:r>
      <w:r>
        <w:fldChar w:fldCharType="separate"/>
      </w:r>
      <w:r>
        <w:t xml:space="preserve">_________________</w:t>
      </w:r>
      <w:r>
        <w:fldChar w:fldCharType="end"/>
      </w:r>
    </w:p>
    <w:p>
      <w:pPr>
        <w:spacing w:after="100" w:before="400"/>
      </w:pPr>
    </w:p>
    <w:p>
      <w:pPr>
        <w:spacing w:after="60" w:before="60"/>
        <w:jc w:val="center"/>
      </w:pPr>
      <w:r>
        <w:rPr>
          <w:rFonts w:ascii="Arial" w:cs="Arial" w:eastAsia="Arial" w:hAnsi="Arial"/>
          <w:i/>
          <w:iCs/>
          <w:color w:val="808080"/>
          <w:sz w:val="18"/>
          <w:szCs w:val="18"/>
        </w:rPr>
        <w:t xml:space="preserve">This document is a working template intended for the instrumenting notary. It must be adapted and finalized by an authorized notary before signature and registration. Capital Norvex Inc. disclaims all liability with respect to its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CONSTRUCTION MORTGAGE DEED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Mortgage Deed</dc:title>
  <dc:creator>Capital Norvex Inc.</dc:creator>
  <dc:description>Legal template for instrumenting notary</dc:description>
  <cp:lastModifiedBy>Un-named</cp:lastModifiedBy>
  <cp:revision>1</cp:revision>
  <dcterms:created xsi:type="dcterms:W3CDTF">2026-05-03T16:14:14.474Z</dcterms:created>
  <dcterms:modified xsi:type="dcterms:W3CDTF">2026-05-03T16:14:14.474Z</dcterms:modified>
</cp:coreProperties>
</file>

<file path=docProps/custom.xml><?xml version="1.0" encoding="utf-8"?>
<Properties xmlns="http://schemas.openxmlformats.org/officeDocument/2006/custom-properties" xmlns:vt="http://schemas.openxmlformats.org/officeDocument/2006/docPropsVTypes"/>
</file>