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Arial" w:cs="Arial" w:eastAsia="Arial" w:hAnsi="Arial"/>
          <w:b/>
          <w:bCs/>
          <w:sz w:val="28"/>
          <w:szCs w:val="28"/>
        </w:rPr>
        <w:t xml:space="preserve">PROVINCE OF QUÉBEC</w:t>
      </w:r>
    </w:p>
    <w:p>
      <w:pPr>
        <w:spacing w:after="100" w:line="280"/>
        <w:jc w:val="center"/>
      </w:pPr>
      <w:r>
        <w:rPr>
          <w:rFonts w:ascii="Arial" w:cs="Arial" w:eastAsia="Arial" w:hAnsi="Arial"/>
          <w:sz w:val="22"/>
          <w:szCs w:val="22"/>
        </w:rPr>
        <w:t xml:space="preserve">JUDICIAL DISTRICT OF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200"/>
      </w:pPr>
    </w:p>
    <w:p>
      <w:pPr>
        <w:spacing w:after="60" w:before="120"/>
        <w:jc w:val="center"/>
      </w:pPr>
      <w:r>
        <w:rPr>
          <w:rFonts w:ascii="Arial" w:cs="Arial" w:eastAsia="Arial" w:hAnsi="Arial"/>
          <w:b/>
          <w:bCs/>
          <w:sz w:val="28"/>
          <w:szCs w:val="28"/>
        </w:rPr>
        <w:t xml:space="preserve">REAL ESTATE MORTGAGE DEED</w:t>
      </w:r>
    </w:p>
    <w:p>
      <w:pPr>
        <w:spacing w:after="60" w:before="60"/>
        <w:jc w:val="center"/>
      </w:pPr>
      <w:r>
        <w:rPr>
          <w:rFonts w:ascii="Arial" w:cs="Arial" w:eastAsia="Arial" w:hAnsi="Arial"/>
          <w:b/>
          <w:bCs/>
          <w:sz w:val="24"/>
          <w:szCs w:val="24"/>
        </w:rPr>
        <w:t xml:space="preserve">REFINANCING</w:t>
      </w:r>
    </w:p>
    <w:p>
      <w:pPr>
        <w:spacing w:after="100" w:line="280"/>
        <w:jc w:val="center"/>
      </w:pPr>
      <w:r>
        <w:rPr>
          <w:rFonts w:ascii="Arial" w:cs="Arial" w:eastAsia="Arial" w:hAnsi="Arial"/>
          <w:i/>
          <w:iCs/>
          <w:sz w:val="22"/>
          <w:szCs w:val="22"/>
        </w:rPr>
        <w:t xml:space="preserve">(Civil Code of Québec, art. 2660 et seq.)</w:t>
      </w:r>
    </w:p>
    <w:p>
      <w:pPr>
        <w:spacing w:after="200"/>
      </w:pPr>
    </w:p>
    <w:p>
      <w:pPr>
        <w:keepNext/>
        <w:spacing w:after="120" w:before="240"/>
      </w:pPr>
      <w:r>
        <w:rPr>
          <w:rFonts w:ascii="Arial" w:cs="Arial" w:eastAsia="Arial" w:hAnsi="Arial"/>
          <w:b/>
          <w:bCs/>
          <w:sz w:val="24"/>
          <w:szCs w:val="24"/>
        </w:rPr>
        <w:t xml:space="preserve">IDENTIFICATION OF THE PARTIES</w:t>
      </w:r>
    </w:p>
    <w:p>
      <w:pPr>
        <w:keepNext/>
        <w:spacing w:after="60" w:before="180"/>
      </w:pPr>
      <w:r>
        <w:rPr>
          <w:rFonts w:ascii="Arial" w:cs="Arial" w:eastAsia="Arial" w:hAnsi="Arial"/>
          <w:b/>
          <w:bCs/>
          <w:sz w:val="22"/>
          <w:szCs w:val="22"/>
        </w:rPr>
        <w:t xml:space="preserve">MORTGAGE CREDITOR:</w:t>
      </w:r>
    </w:p>
    <w:p>
      <w:pPr>
        <w:spacing w:after="100" w:line="280"/>
        <w:jc w:val="both"/>
      </w:pPr>
      <w:r>
        <w:rPr>
          <w:rFonts w:ascii="Arial" w:cs="Arial" w:eastAsia="Arial" w:hAnsi="Arial"/>
          <w:sz w:val="22"/>
          <w:szCs w:val="22"/>
        </w:rPr>
        <w:t xml:space="preserve">CAPITAL NORVEX INC., a legal person duly constituted under the laws of the Province of Québec, having its head office at 2705-1000 André-Prévost Street, Verdun, Montréal, Québec H3E 0G2, hereinafter referred to as "Capital Norvex" or the "Lender";</w:t>
      </w:r>
    </w:p>
    <w:p>
      <w:pPr>
        <w:spacing w:after="100" w:line="280"/>
        <w:jc w:val="both"/>
      </w:pPr>
      <w:r>
        <w:rPr>
          <w:rFonts w:ascii="Arial" w:cs="Arial" w:eastAsia="Arial" w:hAnsi="Arial"/>
          <w:sz w:val="22"/>
          <w:szCs w:val="22"/>
        </w:rPr>
        <w:t xml:space="preserve">Represented for the purposes hereof by:</w:t>
      </w:r>
    </w:p>
    <w:p>
      <w:pPr>
        <w:spacing w:after="100" w:line="280"/>
        <w:jc w:val="both"/>
      </w:pPr>
      <w:r>
        <w:rPr>
          <w:rFonts w:ascii="Arial" w:cs="Arial" w:eastAsia="Arial" w:hAnsi="Arial"/>
          <w:sz w:val="22"/>
          <w:szCs w:val="22"/>
        </w:rPr>
        <w:t xml:space="preserve">Name of designated representative: </w:t>
      </w:r>
      <w:r>
        <w:fldChar w:fldCharType="begin">
          <w:ffData>
            <w:name w:val="Field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Title / Capacity: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Duly authorized to sign for and on behalf of Capital Norvex Inc. pursuant to a corporate resolution adopted by the sole shareholder and president, Mrs. Suzanne Breton, dated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(the &amp;quot;Resolution&amp;quot;), a certified copy of which is attached hereto as Schedule I.</w:t>
      </w:r>
    </w:p>
    <w:p>
      <w:pPr>
        <w:keepNext/>
        <w:spacing w:after="60" w:before="180"/>
      </w:pPr>
      <w:r>
        <w:rPr>
          <w:rFonts w:ascii="Arial" w:cs="Arial" w:eastAsia="Arial" w:hAnsi="Arial"/>
          <w:b/>
          <w:bCs/>
          <w:sz w:val="22"/>
          <w:szCs w:val="22"/>
        </w:rPr>
        <w:t xml:space="preserve">MORTGAGE DEBTOR:</w:t>
      </w:r>
    </w:p>
    <w:p>
      <w:pPr>
        <w:spacing w:after="100" w:line="280"/>
        <w:jc w:val="both"/>
      </w:pP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a legal person registered with the Quebec Enterprise Register under number </w:t>
      </w:r>
      <w:r>
        <w:fldChar w:fldCharType="begin">
          <w:ffData>
            <w:name w:val="Field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having its head office at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represented by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in the capacity of </w:t>
      </w:r>
      <w:r>
        <w:fldChar w:fldCharType="begin">
          <w:ffData>
            <w:name w:val="Field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hereinafter referred to as the &amp;quot;Borrower&amp;quot;;</w:t>
      </w:r>
    </w:p>
    <w:p>
      <w:pPr>
        <w:keepNext/>
        <w:spacing w:after="60" w:before="180"/>
      </w:pPr>
      <w:r>
        <w:rPr>
          <w:rFonts w:ascii="Arial" w:cs="Arial" w:eastAsia="Arial" w:hAnsi="Arial"/>
          <w:b/>
          <w:bCs/>
          <w:sz w:val="22"/>
          <w:szCs w:val="22"/>
        </w:rPr>
        <w:t xml:space="preserve">GUARANTOR(S) (if applicable):</w:t>
      </w:r>
    </w:p>
    <w:p>
      <w:pPr>
        <w:spacing w:after="100" w:line="280"/>
        <w:jc w:val="both"/>
      </w:pPr>
      <w:r>
        <w:fldChar w:fldCharType="begin">
          <w:ffData>
            <w:name w:val="Field10"/>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hereinafter referred to as the &amp;quot;Guarantor&amp;quot;.</w:t>
      </w:r>
    </w:p>
    <w:p>
      <w:pPr>
        <w:keepNext/>
        <w:spacing w:after="120" w:before="240"/>
      </w:pPr>
      <w:r>
        <w:rPr>
          <w:rFonts w:ascii="Arial" w:cs="Arial" w:eastAsia="Arial" w:hAnsi="Arial"/>
          <w:b/>
          <w:bCs/>
          <w:sz w:val="24"/>
          <w:szCs w:val="24"/>
        </w:rPr>
        <w:t xml:space="preserve">PRELIMINARY RECITALS</w:t>
      </w:r>
    </w:p>
    <w:p>
      <w:pPr>
        <w:spacing w:after="100" w:line="280"/>
        <w:jc w:val="both"/>
      </w:pPr>
      <w:r>
        <w:rPr>
          <w:rFonts w:ascii="Arial" w:cs="Arial" w:eastAsia="Arial" w:hAnsi="Arial"/>
          <w:sz w:val="22"/>
          <w:szCs w:val="22"/>
        </w:rPr>
        <w:t xml:space="preserve">WHEREAS the Borrower is the owner of the immovable described herein (the "Property");</w:t>
      </w:r>
    </w:p>
    <w:p>
      <w:pPr>
        <w:spacing w:after="100" w:line="280"/>
        <w:jc w:val="both"/>
      </w:pPr>
      <w:r>
        <w:rPr>
          <w:rFonts w:ascii="Arial" w:cs="Arial" w:eastAsia="Arial" w:hAnsi="Arial"/>
          <w:sz w:val="22"/>
          <w:szCs w:val="22"/>
        </w:rPr>
        <w:t xml:space="preserve">WHEREAS the Property is currently encumbered by a mortgage in favour of </w:t>
      </w:r>
      <w:r>
        <w:fldChar w:fldCharType="begin">
          <w:ffData>
            <w:name w:val="Field11"/>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(the &amp;quot;Former Lender&amp;quot;), which mortgage shall be discharged using a portion of the proceeds of this Loan;</w:t>
      </w:r>
    </w:p>
    <w:p>
      <w:pPr>
        <w:spacing w:after="100" w:line="280"/>
        <w:jc w:val="both"/>
      </w:pPr>
      <w:r>
        <w:rPr>
          <w:rFonts w:ascii="Arial" w:cs="Arial" w:eastAsia="Arial" w:hAnsi="Arial"/>
          <w:sz w:val="22"/>
          <w:szCs w:val="22"/>
        </w:rPr>
        <w:t xml:space="preserve">WHEREAS the Borrower wishes to refinance such debt and obtain, where applicable, additional liquidity for a specific documented use;</w:t>
      </w:r>
    </w:p>
    <w:p>
      <w:pPr>
        <w:spacing w:after="100" w:line="280"/>
        <w:jc w:val="both"/>
      </w:pPr>
      <w:r>
        <w:rPr>
          <w:rFonts w:ascii="Arial" w:cs="Arial" w:eastAsia="Arial" w:hAnsi="Arial"/>
          <w:sz w:val="22"/>
          <w:szCs w:val="22"/>
        </w:rPr>
        <w:t xml:space="preserve">WHEREAS the Borrower represents and warrants to have a clear and documented exit strategy for the full repayment of this Loan at maturity;</w:t>
      </w:r>
    </w:p>
    <w:p>
      <w:pPr>
        <w:spacing w:after="100" w:line="280"/>
        <w:jc w:val="both"/>
      </w:pPr>
      <w:r>
        <w:rPr>
          <w:rFonts w:ascii="Arial" w:cs="Arial" w:eastAsia="Arial" w:hAnsi="Arial"/>
          <w:sz w:val="22"/>
          <w:szCs w:val="22"/>
        </w:rPr>
        <w:t xml:space="preserve">WHEREAS the Lender agrees to grant such loan under the terms set forth below, subject in particular to the production of satisfactory evidence of an exit strategy;</w:t>
      </w:r>
    </w:p>
    <w:p>
      <w:pPr>
        <w:spacing w:after="100" w:line="280"/>
        <w:jc w:val="both"/>
      </w:pPr>
      <w:r>
        <w:rPr>
          <w:rFonts w:ascii="Arial" w:cs="Arial" w:eastAsia="Arial" w:hAnsi="Arial"/>
          <w:sz w:val="22"/>
          <w:szCs w:val="22"/>
        </w:rPr>
        <w:t xml:space="preserve">IN CONSIDERATION of these premises, the Parties agree as follows:</w:t>
      </w:r>
    </w:p>
    <w:p>
      <w:pPr>
        <w:keepNext/>
        <w:spacing w:after="120" w:before="240"/>
      </w:pPr>
      <w:r>
        <w:rPr>
          <w:rFonts w:ascii="Arial" w:cs="Arial" w:eastAsia="Arial" w:hAnsi="Arial"/>
          <w:b/>
          <w:bCs/>
          <w:sz w:val="24"/>
          <w:szCs w:val="24"/>
        </w:rPr>
        <w:t xml:space="preserve">ARTICLE 1 — REFINANCING MORTGAGE LOAN</w:t>
      </w:r>
    </w:p>
    <w:p>
      <w:pPr>
        <w:keepNext/>
        <w:spacing w:after="60" w:before="180"/>
      </w:pPr>
      <w:r>
        <w:rPr>
          <w:rFonts w:ascii="Arial" w:cs="Arial" w:eastAsia="Arial" w:hAnsi="Arial"/>
          <w:b/>
          <w:bCs/>
          <w:sz w:val="22"/>
          <w:szCs w:val="22"/>
        </w:rPr>
        <w:t xml:space="preserve">1.1  Loan Amount</w:t>
      </w:r>
    </w:p>
    <w:p>
      <w:pPr>
        <w:spacing w:after="100" w:line="280"/>
        <w:jc w:val="both"/>
      </w:pPr>
      <w:r>
        <w:rPr>
          <w:rFonts w:ascii="Arial" w:cs="Arial" w:eastAsia="Arial" w:hAnsi="Arial"/>
          <w:sz w:val="22"/>
          <w:szCs w:val="22"/>
        </w:rPr>
        <w:t xml:space="preserve">The Lender grants the Borrower a refinancing loan in the amount of (</w:t>
      </w:r>
      <w:r>
        <w:fldChar w:fldCharType="begin">
          <w:ffData>
            <w:name w:val="Field1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Canadian dollars (CAD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hereinafter referred to as the &amp;quot;Loan&amp;quot;.</w:t>
      </w:r>
    </w:p>
    <w:p>
      <w:pPr>
        <w:keepNext/>
        <w:spacing w:after="60" w:before="180"/>
      </w:pPr>
      <w:r>
        <w:rPr>
          <w:rFonts w:ascii="Arial" w:cs="Arial" w:eastAsia="Arial" w:hAnsi="Arial"/>
          <w:b/>
          <w:bCs/>
          <w:sz w:val="22"/>
          <w:szCs w:val="22"/>
        </w:rPr>
        <w:t xml:space="preserve">1.2  Use of Funds</w:t>
      </w:r>
    </w:p>
    <w:p>
      <w:pPr>
        <w:spacing w:after="100" w:line="280"/>
        <w:jc w:val="both"/>
      </w:pPr>
      <w:r>
        <w:rPr>
          <w:rFonts w:ascii="Arial" w:cs="Arial" w:eastAsia="Arial" w:hAnsi="Arial"/>
          <w:sz w:val="22"/>
          <w:szCs w:val="22"/>
        </w:rPr>
        <w:t xml:space="preserve">The Loan proceeds are exclusively allocated as follows:</w:t>
      </w:r>
    </w:p>
    <w:p>
      <w:pPr>
        <w:pStyle w:val="ListParagraph"/>
        <w:numPr>
          <w:ilvl w:val="0"/>
          <w:numId w:val="2"/>
        </w:numPr>
        <w:spacing w:after="60"/>
      </w:pPr>
      <w:r>
        <w:rPr>
          <w:rFonts w:ascii="Arial" w:cs="Arial" w:eastAsia="Arial" w:hAnsi="Arial"/>
          <w:sz w:val="22"/>
          <w:szCs w:val="22"/>
        </w:rPr>
        <w:t xml:space="preserve">Full repayment of the existing mortgage in favour of the Former Lender: CAD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File fees, notarial fees, taxes and registration fees: CAD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Additional liquidity allocated to: </w:t>
      </w:r>
      <w:r>
        <w:fldChar w:fldCharType="begin">
          <w:ffData>
            <w:name w:val="Field16"/>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 (specify: tenant improvements, working capital, acquisition of another asset, etc.) — amount: CAD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100" w:line="280"/>
        <w:jc w:val="both"/>
      </w:pPr>
      <w:r>
        <w:rPr>
          <w:rFonts w:ascii="Arial" w:cs="Arial" w:eastAsia="Arial" w:hAnsi="Arial"/>
          <w:b/>
          <w:bCs/>
          <w:sz w:val="22"/>
          <w:szCs w:val="22"/>
        </w:rPr>
        <w:t xml:space="preserve">NO pure cash-out without a documented repayment plan is authorized. Any allocation of funds must be the subject of written justification acceptable to the Lender.</w:t>
      </w:r>
    </w:p>
    <w:p>
      <w:pPr>
        <w:keepNext/>
        <w:spacing w:after="60" w:before="180"/>
      </w:pPr>
      <w:r>
        <w:rPr>
          <w:rFonts w:ascii="Arial" w:cs="Arial" w:eastAsia="Arial" w:hAnsi="Arial"/>
          <w:b/>
          <w:bCs/>
          <w:sz w:val="22"/>
          <w:szCs w:val="22"/>
        </w:rPr>
        <w:t xml:space="preserve">1.3  Disbursement</w:t>
      </w:r>
    </w:p>
    <w:p>
      <w:pPr>
        <w:spacing w:after="100" w:line="280"/>
        <w:jc w:val="both"/>
      </w:pPr>
      <w:r>
        <w:rPr>
          <w:rFonts w:ascii="Arial" w:cs="Arial" w:eastAsia="Arial" w:hAnsi="Arial"/>
          <w:sz w:val="22"/>
          <w:szCs w:val="22"/>
        </w:rPr>
        <w:t xml:space="preserve">The Loan shall be disbursed in a single tranche, on the date of signature and registration of this deed, directly to the instrumenting notary who shall:</w:t>
      </w:r>
    </w:p>
    <w:p>
      <w:pPr>
        <w:pStyle w:val="ListParagraph"/>
        <w:numPr>
          <w:ilvl w:val="0"/>
          <w:numId w:val="2"/>
        </w:numPr>
        <w:spacing w:after="60"/>
      </w:pPr>
      <w:r>
        <w:rPr>
          <w:rFonts w:ascii="Arial" w:cs="Arial" w:eastAsia="Arial" w:hAnsi="Arial"/>
          <w:sz w:val="22"/>
          <w:szCs w:val="22"/>
        </w:rPr>
        <w:t xml:space="preserve">repay the Former Lender against final receipt and duly registered discharge of mortgage;</w:t>
      </w:r>
    </w:p>
    <w:p>
      <w:pPr>
        <w:pStyle w:val="ListParagraph"/>
        <w:numPr>
          <w:ilvl w:val="0"/>
          <w:numId w:val="2"/>
        </w:numPr>
        <w:spacing w:after="60"/>
      </w:pPr>
      <w:r>
        <w:rPr>
          <w:rFonts w:ascii="Arial" w:cs="Arial" w:eastAsia="Arial" w:hAnsi="Arial"/>
          <w:sz w:val="22"/>
          <w:szCs w:val="22"/>
        </w:rPr>
        <w:t xml:space="preserve">pay the notarial fees, taxes and registration fees;</w:t>
      </w:r>
    </w:p>
    <w:p>
      <w:pPr>
        <w:pStyle w:val="ListParagraph"/>
        <w:numPr>
          <w:ilvl w:val="0"/>
          <w:numId w:val="2"/>
        </w:numPr>
        <w:spacing w:after="60"/>
      </w:pPr>
      <w:r>
        <w:rPr>
          <w:rFonts w:ascii="Arial" w:cs="Arial" w:eastAsia="Arial" w:hAnsi="Arial"/>
          <w:sz w:val="22"/>
          <w:szCs w:val="22"/>
        </w:rPr>
        <w:t xml:space="preserve">remit the balance to the Borrower, upon proof of compliant allocation.</w:t>
      </w:r>
    </w:p>
    <w:p>
      <w:pPr>
        <w:keepNext/>
        <w:spacing w:after="60" w:before="180"/>
      </w:pPr>
      <w:r>
        <w:rPr>
          <w:rFonts w:ascii="Arial" w:cs="Arial" w:eastAsia="Arial" w:hAnsi="Arial"/>
          <w:b/>
          <w:bCs/>
          <w:sz w:val="22"/>
          <w:szCs w:val="22"/>
        </w:rPr>
        <w:t xml:space="preserve">1.4  Conditions Precedent to Disbursement</w:t>
      </w:r>
    </w:p>
    <w:p>
      <w:pPr>
        <w:spacing w:after="100" w:line="280"/>
        <w:jc w:val="both"/>
      </w:pPr>
      <w:r>
        <w:rPr>
          <w:rFonts w:ascii="Arial" w:cs="Arial" w:eastAsia="Arial" w:hAnsi="Arial"/>
          <w:sz w:val="22"/>
          <w:szCs w:val="22"/>
        </w:rPr>
        <w:t xml:space="preserve">Disbursement of the Loan is conditional upon:</w:t>
      </w:r>
    </w:p>
    <w:p>
      <w:pPr>
        <w:pStyle w:val="ListParagraph"/>
        <w:numPr>
          <w:ilvl w:val="0"/>
          <w:numId w:val="2"/>
        </w:numPr>
        <w:spacing w:after="60"/>
      </w:pPr>
      <w:r>
        <w:rPr>
          <w:rFonts w:ascii="Arial" w:cs="Arial" w:eastAsia="Arial" w:hAnsi="Arial"/>
          <w:sz w:val="22"/>
          <w:szCs w:val="22"/>
        </w:rPr>
        <w:t xml:space="preserve">Confirmation of first-rank mortgage status by the instrumenting notary after discharge of the Former Lender's mortgage;</w:t>
      </w:r>
    </w:p>
    <w:p>
      <w:pPr>
        <w:pStyle w:val="ListParagraph"/>
        <w:numPr>
          <w:ilvl w:val="0"/>
          <w:numId w:val="2"/>
        </w:numPr>
        <w:spacing w:after="60"/>
      </w:pPr>
      <w:r>
        <w:rPr>
          <w:rFonts w:ascii="Arial" w:cs="Arial" w:eastAsia="Arial" w:hAnsi="Arial"/>
          <w:sz w:val="22"/>
          <w:szCs w:val="22"/>
        </w:rPr>
        <w:t xml:space="preserve">Discharge / payoff letter from the Former Lender stating the exact balance due;</w:t>
      </w:r>
    </w:p>
    <w:p>
      <w:pPr>
        <w:pStyle w:val="ListParagraph"/>
        <w:numPr>
          <w:ilvl w:val="0"/>
          <w:numId w:val="2"/>
        </w:numPr>
        <w:spacing w:after="60"/>
      </w:pPr>
      <w:r>
        <w:rPr>
          <w:rFonts w:ascii="Arial" w:cs="Arial" w:eastAsia="Arial" w:hAnsi="Arial"/>
          <w:sz w:val="22"/>
          <w:szCs w:val="22"/>
        </w:rPr>
        <w:t xml:space="preserve">Accredited (AACI) appraisal of the Property, dated less than six (6) months;</w:t>
      </w:r>
    </w:p>
    <w:p>
      <w:pPr>
        <w:pStyle w:val="ListParagraph"/>
        <w:numPr>
          <w:ilvl w:val="0"/>
          <w:numId w:val="2"/>
        </w:numPr>
        <w:spacing w:after="60"/>
      </w:pPr>
      <w:r>
        <w:rPr>
          <w:rFonts w:ascii="Arial" w:cs="Arial" w:eastAsia="Arial" w:hAnsi="Arial"/>
          <w:sz w:val="22"/>
          <w:szCs w:val="22"/>
        </w:rPr>
        <w:t xml:space="preserve">Documented exit strategy (see Article 3.4) acceptable to the Lender;</w:t>
      </w:r>
    </w:p>
    <w:p>
      <w:pPr>
        <w:pStyle w:val="ListParagraph"/>
        <w:numPr>
          <w:ilvl w:val="0"/>
          <w:numId w:val="2"/>
        </w:numPr>
        <w:spacing w:after="60"/>
      </w:pPr>
      <w:r>
        <w:rPr>
          <w:rFonts w:ascii="Arial" w:cs="Arial" w:eastAsia="Arial" w:hAnsi="Arial"/>
          <w:sz w:val="22"/>
          <w:szCs w:val="22"/>
        </w:rPr>
        <w:t xml:space="preserve">Phase I environmental assessment (if applicable) acceptable to the Lender;</w:t>
      </w:r>
    </w:p>
    <w:p>
      <w:pPr>
        <w:pStyle w:val="ListParagraph"/>
        <w:numPr>
          <w:ilvl w:val="0"/>
          <w:numId w:val="2"/>
        </w:numPr>
        <w:spacing w:after="60"/>
      </w:pPr>
      <w:r>
        <w:rPr>
          <w:rFonts w:ascii="Arial" w:cs="Arial" w:eastAsia="Arial" w:hAnsi="Arial"/>
          <w:sz w:val="22"/>
          <w:szCs w:val="22"/>
        </w:rPr>
        <w:t xml:space="preserve">Insurance policies with Capital Norvex designated as beneficiary / additional insured;</w:t>
      </w:r>
    </w:p>
    <w:p>
      <w:pPr>
        <w:pStyle w:val="ListParagraph"/>
        <w:numPr>
          <w:ilvl w:val="0"/>
          <w:numId w:val="2"/>
        </w:numPr>
        <w:spacing w:after="60"/>
      </w:pPr>
      <w:r>
        <w:rPr>
          <w:rFonts w:ascii="Arial" w:cs="Arial" w:eastAsia="Arial" w:hAnsi="Arial"/>
          <w:sz w:val="22"/>
          <w:szCs w:val="22"/>
        </w:rPr>
        <w:t xml:space="preserve">Execution of this deed and any ancillary document required by the Lender.</w:t>
      </w:r>
    </w:p>
    <w:p>
      <w:pPr>
        <w:keepNext/>
        <w:spacing w:after="60" w:before="180"/>
      </w:pPr>
      <w:r>
        <w:rPr>
          <w:rFonts w:ascii="Arial" w:cs="Arial" w:eastAsia="Arial" w:hAnsi="Arial"/>
          <w:b/>
          <w:bCs/>
          <w:sz w:val="22"/>
          <w:szCs w:val="22"/>
        </w:rPr>
        <w:t xml:space="preserve">1.5  Qualification Ratios (Base Criteria — Case-by-Case Flexibility)</w:t>
      </w:r>
    </w:p>
    <w:p>
      <w:pPr>
        <w:spacing w:after="100" w:line="280"/>
        <w:jc w:val="both"/>
      </w:pPr>
      <w:r>
        <w:rPr>
          <w:rFonts w:ascii="Arial" w:cs="Arial" w:eastAsia="Arial" w:hAnsi="Arial"/>
          <w:sz w:val="22"/>
          <w:szCs w:val="22"/>
        </w:rPr>
        <w:t xml:space="preserve">As base criteria, the Loan aims to comply with the following ratios:</w:t>
      </w:r>
    </w:p>
    <w:p>
      <w:pPr>
        <w:pStyle w:val="ListParagraph"/>
        <w:numPr>
          <w:ilvl w:val="0"/>
          <w:numId w:val="2"/>
        </w:numPr>
        <w:spacing w:after="60"/>
      </w:pPr>
      <w:r>
        <w:rPr>
          <w:rFonts w:ascii="Arial" w:cs="Arial" w:eastAsia="Arial" w:hAnsi="Arial"/>
          <w:sz w:val="22"/>
          <w:szCs w:val="22"/>
        </w:rPr>
        <w:t xml:space="preserve">Target loan-to-value (LTV) ratio of seventy percent (70%) of the market value of the Property as established by an accredited (AACI) appraisal, i.e. CAD </w:t>
      </w:r>
      <w:r>
        <w:fldChar w:fldCharType="begin">
          <w:ffData>
            <w:name w:val="Field1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Target debt service coverage ratio (DCR) of one point twenty (1.20x) calculated on the stabilized net income of the Property;</w:t>
      </w:r>
    </w:p>
    <w:p>
      <w:pPr>
        <w:pStyle w:val="ListParagraph"/>
        <w:numPr>
          <w:ilvl w:val="0"/>
          <w:numId w:val="2"/>
        </w:numPr>
        <w:spacing w:after="60"/>
      </w:pPr>
      <w:r>
        <w:rPr>
          <w:rFonts w:ascii="Arial" w:cs="Arial" w:eastAsia="Arial" w:hAnsi="Arial"/>
          <w:sz w:val="22"/>
          <w:szCs w:val="22"/>
        </w:rPr>
        <w:t xml:space="preserve">Target Borrower's cash equity of at least thirty percent (30%) of the Property value.</w:t>
      </w:r>
    </w:p>
    <w:p>
      <w:pPr>
        <w:spacing w:after="100" w:line="280"/>
        <w:jc w:val="both"/>
      </w:pPr>
      <w:r>
        <w:rPr>
          <w:rFonts w:ascii="Arial" w:cs="Arial" w:eastAsia="Arial" w:hAnsi="Arial"/>
          <w:b/>
          <w:bCs/>
          <w:sz w:val="22"/>
          <w:szCs w:val="22"/>
        </w:rPr>
        <w:t xml:space="preserve">FILE-BY-FILE FLEXIBILITY: The above ratios constitute base criteria and may be adjusted on a case-by-case basis, up to a maximum LTV of ninety-five percent (95%), if the Borrower provides additional collateral acceptable to the Lender, such as:</w:t>
      </w:r>
    </w:p>
    <w:p>
      <w:pPr>
        <w:pStyle w:val="ListParagraph"/>
        <w:numPr>
          <w:ilvl w:val="0"/>
          <w:numId w:val="2"/>
        </w:numPr>
        <w:spacing w:after="60"/>
      </w:pPr>
      <w:r>
        <w:rPr>
          <w:rFonts w:ascii="Arial" w:cs="Arial" w:eastAsia="Arial" w:hAnsi="Arial"/>
          <w:sz w:val="22"/>
          <w:szCs w:val="22"/>
        </w:rPr>
        <w:t xml:space="preserve">Additional mortgage on another debt-free property;</w:t>
      </w:r>
    </w:p>
    <w:p>
      <w:pPr>
        <w:pStyle w:val="ListParagraph"/>
        <w:numPr>
          <w:ilvl w:val="0"/>
          <w:numId w:val="2"/>
        </w:numPr>
        <w:spacing w:after="60"/>
      </w:pPr>
      <w:r>
        <w:rPr>
          <w:rFonts w:ascii="Arial" w:cs="Arial" w:eastAsia="Arial" w:hAnsi="Arial"/>
          <w:sz w:val="22"/>
          <w:szCs w:val="22"/>
        </w:rPr>
        <w:t xml:space="preserve">Second-rank mortgage on another property owned by the Borrower or the Guarantors;</w:t>
      </w:r>
    </w:p>
    <w:p>
      <w:pPr>
        <w:pStyle w:val="ListParagraph"/>
        <w:numPr>
          <w:ilvl w:val="0"/>
          <w:numId w:val="2"/>
        </w:numPr>
        <w:spacing w:after="60"/>
      </w:pPr>
      <w:r>
        <w:rPr>
          <w:rFonts w:ascii="Arial" w:cs="Arial" w:eastAsia="Arial" w:hAnsi="Arial"/>
          <w:sz w:val="22"/>
          <w:szCs w:val="22"/>
        </w:rPr>
        <w:t xml:space="preserve">Solid personal suretyship from substantial-net-worth individuals;</w:t>
      </w:r>
    </w:p>
    <w:p>
      <w:pPr>
        <w:pStyle w:val="ListParagraph"/>
        <w:numPr>
          <w:ilvl w:val="0"/>
          <w:numId w:val="2"/>
        </w:numPr>
        <w:spacing w:after="60"/>
      </w:pPr>
      <w:r>
        <w:rPr>
          <w:rFonts w:ascii="Arial" w:cs="Arial" w:eastAsia="Arial" w:hAnsi="Arial"/>
          <w:sz w:val="22"/>
          <w:szCs w:val="22"/>
        </w:rPr>
        <w:t xml:space="preserve">Cash deposit in trust or cash collateral;</w:t>
      </w:r>
    </w:p>
    <w:p>
      <w:pPr>
        <w:pStyle w:val="ListParagraph"/>
        <w:numPr>
          <w:ilvl w:val="0"/>
          <w:numId w:val="2"/>
        </w:numPr>
        <w:spacing w:after="60"/>
      </w:pPr>
      <w:r>
        <w:rPr>
          <w:rFonts w:ascii="Arial" w:cs="Arial" w:eastAsia="Arial" w:hAnsi="Arial"/>
          <w:sz w:val="22"/>
          <w:szCs w:val="22"/>
        </w:rPr>
        <w:t xml:space="preserve">Any other security or collateral acceptable to the Lender.</w:t>
      </w:r>
    </w:p>
    <w:p>
      <w:pPr>
        <w:spacing w:after="100" w:line="280"/>
        <w:jc w:val="both"/>
      </w:pPr>
      <w:r>
        <w:rPr>
          <w:rFonts w:ascii="Arial" w:cs="Arial" w:eastAsia="Arial" w:hAnsi="Arial"/>
          <w:sz w:val="22"/>
          <w:szCs w:val="22"/>
        </w:rPr>
        <w:t xml:space="preserve">The evaluation and acceptance of such collateral is at the sole discretion of the Lender, who determines the value attributed to each collateral and its effect on the applicable ratios. The specific conditions and collateral retained for this file are described in Schedule J.</w:t>
      </w:r>
    </w:p>
    <w:p>
      <w:pPr>
        <w:keepNext/>
        <w:spacing w:after="120" w:before="240"/>
      </w:pPr>
      <w:r>
        <w:rPr>
          <w:rFonts w:ascii="Arial" w:cs="Arial" w:eastAsia="Arial" w:hAnsi="Arial"/>
          <w:b/>
          <w:bCs/>
          <w:sz w:val="24"/>
          <w:szCs w:val="24"/>
        </w:rPr>
        <w:t xml:space="preserve">ARTICLE 2 — FINANCIAL CONDITIONS</w:t>
      </w:r>
    </w:p>
    <w:p>
      <w:pPr>
        <w:keepNext/>
        <w:spacing w:after="60" w:before="180"/>
      </w:pPr>
      <w:r>
        <w:rPr>
          <w:rFonts w:ascii="Arial" w:cs="Arial" w:eastAsia="Arial" w:hAnsi="Arial"/>
          <w:b/>
          <w:bCs/>
          <w:sz w:val="22"/>
          <w:szCs w:val="22"/>
        </w:rPr>
        <w:t xml:space="preserve">2.1  Interest Rate</w:t>
      </w:r>
    </w:p>
    <w:p>
      <w:pPr>
        <w:spacing w:after="100" w:line="280"/>
        <w:jc w:val="both"/>
      </w:pPr>
      <w:r>
        <w:rPr>
          <w:rFonts w:ascii="Arial" w:cs="Arial" w:eastAsia="Arial" w:hAnsi="Arial"/>
          <w:sz w:val="22"/>
          <w:szCs w:val="22"/>
        </w:rPr>
        <w:t xml:space="preserve">The Loan shall bear interest at a fixed annual rate of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per year, calculated and capitalized monthly.</w:t>
      </w:r>
    </w:p>
    <w:p>
      <w:pPr>
        <w:keepNext/>
        <w:spacing w:after="60" w:before="180"/>
      </w:pPr>
      <w:r>
        <w:rPr>
          <w:rFonts w:ascii="Arial" w:cs="Arial" w:eastAsia="Arial" w:hAnsi="Arial"/>
          <w:b/>
          <w:bCs/>
          <w:sz w:val="22"/>
          <w:szCs w:val="22"/>
        </w:rPr>
        <w:t xml:space="preserve">2.2  File Fees</w:t>
      </w:r>
    </w:p>
    <w:p>
      <w:pPr>
        <w:spacing w:after="100" w:line="280"/>
        <w:jc w:val="both"/>
      </w:pPr>
      <w:r>
        <w:rPr>
          <w:rFonts w:ascii="Arial" w:cs="Arial" w:eastAsia="Arial" w:hAnsi="Arial"/>
          <w:sz w:val="22"/>
          <w:szCs w:val="22"/>
        </w:rPr>
        <w:t xml:space="preserve">File fees of CAD </w:t>
      </w:r>
      <w:r>
        <w:fldChar w:fldCharType="begin">
          <w:ffData>
            <w:name w:val="Field2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the Loan amount) are payable to Capital Norvex Inc. at signing or disbursement, non-refundable.</w:t>
      </w:r>
    </w:p>
    <w:p>
      <w:pPr>
        <w:keepNext/>
        <w:spacing w:after="60" w:before="180"/>
      </w:pPr>
      <w:r>
        <w:rPr>
          <w:rFonts w:ascii="Arial" w:cs="Arial" w:eastAsia="Arial" w:hAnsi="Arial"/>
          <w:b/>
          <w:bCs/>
          <w:sz w:val="22"/>
          <w:szCs w:val="22"/>
        </w:rPr>
        <w:t xml:space="preserve">2.3  Analysis Fees in Case of Term Extension</w:t>
      </w:r>
    </w:p>
    <w:p>
      <w:pPr>
        <w:spacing w:after="100" w:line="280"/>
        <w:jc w:val="both"/>
      </w:pPr>
      <w:r>
        <w:rPr>
          <w:rFonts w:ascii="Arial" w:cs="Arial" w:eastAsia="Arial" w:hAnsi="Arial"/>
          <w:sz w:val="22"/>
          <w:szCs w:val="22"/>
        </w:rPr>
        <w:t xml:space="preserve">For any Loan whose initial term is exceeded (that is, upon any extension beyond the initial Maturity Date provided in Article 3.1), additional analysis fees of one percent (1%) of the principal shall be payable, subject to renegotiation on a case-by-case basis depending on the circumstances of the file. Such fees are calculated on the principal balance outstanding at the Maturity Date and are payable upon signature of any extension or, failing that, upon first demand of the Lender.</w:t>
      </w:r>
    </w:p>
    <w:p>
      <w:pPr>
        <w:keepNext/>
        <w:spacing w:after="60" w:before="180"/>
      </w:pPr>
      <w:r>
        <w:rPr>
          <w:rFonts w:ascii="Arial" w:cs="Arial" w:eastAsia="Arial" w:hAnsi="Arial"/>
          <w:b/>
          <w:bCs/>
          <w:sz w:val="22"/>
          <w:szCs w:val="22"/>
        </w:rPr>
        <w:t xml:space="preserve">2.4  Interest Payments</w:t>
      </w:r>
    </w:p>
    <w:p>
      <w:pPr>
        <w:spacing w:after="100" w:line="280"/>
        <w:jc w:val="both"/>
      </w:pPr>
      <w:r>
        <w:rPr>
          <w:rFonts w:ascii="Arial" w:cs="Arial" w:eastAsia="Arial" w:hAnsi="Arial"/>
          <w:sz w:val="22"/>
          <w:szCs w:val="22"/>
        </w:rPr>
        <w:t xml:space="preserve">The Borrower shall make monthly interest payments of CAD </w:t>
      </w:r>
      <w:r>
        <w:fldChar w:fldCharType="begin">
          <w:ffData>
            <w:name w:val="Field2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payable on the </w:t>
      </w:r>
      <w:r>
        <w:fldChar w:fldCharType="begin">
          <w:ffData>
            <w:name w:val="Field2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of each month, beginning on </w:t>
      </w:r>
      <w:r>
        <w:fldChar w:fldCharType="begin">
          <w:ffData>
            <w:name w:val="Field2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 principal payment is required before the Maturity Date.</w:t>
      </w:r>
    </w:p>
    <w:p>
      <w:pPr>
        <w:keepNext/>
        <w:spacing w:after="60" w:before="180"/>
      </w:pPr>
      <w:r>
        <w:rPr>
          <w:rFonts w:ascii="Arial" w:cs="Arial" w:eastAsia="Arial" w:hAnsi="Arial"/>
          <w:b/>
          <w:bCs/>
          <w:sz w:val="22"/>
          <w:szCs w:val="22"/>
        </w:rPr>
        <w:t xml:space="preserve">2.5  Default Rate</w:t>
      </w:r>
    </w:p>
    <w:p>
      <w:pPr>
        <w:spacing w:after="100" w:line="280"/>
        <w:jc w:val="both"/>
      </w:pPr>
      <w:r>
        <w:rPr>
          <w:rFonts w:ascii="Arial" w:cs="Arial" w:eastAsia="Arial" w:hAnsi="Arial"/>
          <w:sz w:val="22"/>
          <w:szCs w:val="22"/>
        </w:rPr>
        <w:t xml:space="preserve">In the event of default, any unpaid amount shall bear interest at the annual rate of </w:t>
      </w:r>
      <w:r>
        <w:fldChar w:fldCharType="begin">
          <w:ffData>
            <w:name w:val="Field2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until full payment.</w:t>
      </w:r>
    </w:p>
    <w:p>
      <w:pPr>
        <w:keepNext/>
        <w:spacing w:after="120" w:before="240"/>
      </w:pPr>
      <w:r>
        <w:rPr>
          <w:rFonts w:ascii="Arial" w:cs="Arial" w:eastAsia="Arial" w:hAnsi="Arial"/>
          <w:b/>
          <w:bCs/>
          <w:sz w:val="24"/>
          <w:szCs w:val="24"/>
        </w:rPr>
        <w:t xml:space="preserve">ARTICLE 3 — TERM AND REPAYMENT</w:t>
      </w:r>
    </w:p>
    <w:p>
      <w:pPr>
        <w:keepNext/>
        <w:spacing w:after="60" w:before="180"/>
      </w:pPr>
      <w:r>
        <w:rPr>
          <w:rFonts w:ascii="Arial" w:cs="Arial" w:eastAsia="Arial" w:hAnsi="Arial"/>
          <w:b/>
          <w:bCs/>
          <w:sz w:val="22"/>
          <w:szCs w:val="22"/>
        </w:rPr>
        <w:t xml:space="preserve">3.1  Term</w:t>
      </w:r>
    </w:p>
    <w:p>
      <w:pPr>
        <w:spacing w:after="100" w:line="280"/>
        <w:jc w:val="both"/>
      </w:pPr>
      <w:r>
        <w:rPr>
          <w:rFonts w:ascii="Arial" w:cs="Arial" w:eastAsia="Arial" w:hAnsi="Arial"/>
          <w:sz w:val="22"/>
          <w:szCs w:val="22"/>
        </w:rPr>
        <w:t xml:space="preserve">The term of the Loan is </w:t>
      </w:r>
      <w:r>
        <w:fldChar w:fldCharType="begin">
          <w:ffData>
            <w:name w:val="Field2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months (typically 12 months renewable for refinancing), from </w:t>
      </w:r>
      <w:r>
        <w:fldChar w:fldCharType="begin">
          <w:ffData>
            <w:name w:val="Field2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to </w:t>
      </w:r>
      <w:r>
        <w:fldChar w:fldCharType="begin">
          <w:ffData>
            <w:name w:val="Field2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(the &amp;quot;Maturity Date&amp;quot;). The full balance of principal and interest shall be repaid no later than the Maturity Date.</w:t>
      </w:r>
    </w:p>
    <w:p>
      <w:pPr>
        <w:keepNext/>
        <w:spacing w:after="60" w:before="180"/>
      </w:pPr>
      <w:r>
        <w:rPr>
          <w:rFonts w:ascii="Arial" w:cs="Arial" w:eastAsia="Arial" w:hAnsi="Arial"/>
          <w:b/>
          <w:bCs/>
          <w:sz w:val="22"/>
          <w:szCs w:val="22"/>
        </w:rPr>
        <w:t xml:space="preserve">3.2  Renewal (where applicable)</w:t>
      </w:r>
    </w:p>
    <w:p>
      <w:pPr>
        <w:spacing w:after="100" w:line="280"/>
        <w:jc w:val="both"/>
      </w:pPr>
      <w:r>
        <w:rPr>
          <w:rFonts w:ascii="Arial" w:cs="Arial" w:eastAsia="Arial" w:hAnsi="Arial"/>
          <w:sz w:val="22"/>
          <w:szCs w:val="22"/>
        </w:rPr>
        <w:t xml:space="preserve">The Lender may, at its sole discretion, agree to renew the Loan on the financial conditions then in effect, subject to a new appraisal of the Property, continued compliance with the ratios of Article 1.5, and payment of the analysis fees (Article 2.3) if applicable.</w:t>
      </w:r>
    </w:p>
    <w:p>
      <w:pPr>
        <w:keepNext/>
        <w:spacing w:after="60" w:before="180"/>
      </w:pPr>
      <w:r>
        <w:rPr>
          <w:rFonts w:ascii="Arial" w:cs="Arial" w:eastAsia="Arial" w:hAnsi="Arial"/>
          <w:b/>
          <w:bCs/>
          <w:sz w:val="22"/>
          <w:szCs w:val="22"/>
        </w:rPr>
        <w:t xml:space="preserve">3.3  Prepayment</w:t>
      </w:r>
    </w:p>
    <w:p>
      <w:pPr>
        <w:spacing w:after="100" w:line="280"/>
        <w:jc w:val="both"/>
      </w:pPr>
      <w:r>
        <w:rPr>
          <w:rFonts w:ascii="Arial" w:cs="Arial" w:eastAsia="Arial" w:hAnsi="Arial"/>
          <w:sz w:val="22"/>
          <w:szCs w:val="22"/>
        </w:rPr>
        <w:t xml:space="preserve">The Borrower may repay the Loan in whole or in part without penalty, upon five (5) business days' prior written notice.</w:t>
      </w:r>
    </w:p>
    <w:p>
      <w:pPr>
        <w:keepNext/>
        <w:spacing w:after="60" w:before="180"/>
      </w:pPr>
      <w:r>
        <w:rPr>
          <w:rFonts w:ascii="Arial" w:cs="Arial" w:eastAsia="Arial" w:hAnsi="Arial"/>
          <w:b/>
          <w:bCs/>
          <w:sz w:val="22"/>
          <w:szCs w:val="22"/>
        </w:rPr>
        <w:t xml:space="preserve">3.4  Exit Strategy</w:t>
      </w:r>
    </w:p>
    <w:p>
      <w:pPr>
        <w:spacing w:after="100" w:line="280"/>
        <w:jc w:val="both"/>
      </w:pPr>
      <w:r>
        <w:rPr>
          <w:rFonts w:ascii="Arial" w:cs="Arial" w:eastAsia="Arial" w:hAnsi="Arial"/>
          <w:sz w:val="22"/>
          <w:szCs w:val="22"/>
        </w:rPr>
        <w:t xml:space="preserve">The Borrower has provided to the Lender, prior to disbursement, a documented exit strategy for the full repayment of the Loan at the Maturity Date, as defined and specified in the Loan Agreement between the Parties. This strategy remains an essential condition of the Loan and is incorporated into this deed by reference.</w:t>
      </w:r>
    </w:p>
    <w:p>
      <w:pPr>
        <w:keepNext/>
        <w:spacing w:after="120" w:before="240"/>
      </w:pPr>
      <w:r>
        <w:rPr>
          <w:rFonts w:ascii="Arial" w:cs="Arial" w:eastAsia="Arial" w:hAnsi="Arial"/>
          <w:b/>
          <w:bCs/>
          <w:sz w:val="24"/>
          <w:szCs w:val="24"/>
        </w:rPr>
        <w:t xml:space="preserve">ARTICLE 4 — FIRST-RANK REAL ESTATE MORTGAGE</w:t>
      </w:r>
    </w:p>
    <w:p>
      <w:pPr>
        <w:keepNext/>
        <w:spacing w:after="60" w:before="180"/>
      </w:pPr>
      <w:r>
        <w:rPr>
          <w:rFonts w:ascii="Arial" w:cs="Arial" w:eastAsia="Arial" w:hAnsi="Arial"/>
          <w:b/>
          <w:bCs/>
          <w:sz w:val="22"/>
          <w:szCs w:val="22"/>
        </w:rPr>
        <w:t xml:space="preserve">4.1  Constitution</w:t>
      </w:r>
    </w:p>
    <w:p>
      <w:pPr>
        <w:spacing w:after="100" w:line="280"/>
        <w:jc w:val="both"/>
      </w:pPr>
      <w:r>
        <w:rPr>
          <w:rFonts w:ascii="Arial" w:cs="Arial" w:eastAsia="Arial" w:hAnsi="Arial"/>
          <w:sz w:val="22"/>
          <w:szCs w:val="22"/>
        </w:rPr>
        <w:t xml:space="preserve">The Borrower hereby grants in favour of the Lender a first-rank real estate mortgage on the Property, in the principal sum of (</w:t>
      </w:r>
      <w:r>
        <w:fldChar w:fldCharType="begin">
          <w:ffData>
            <w:name w:val="Field2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dollars (CAD </w:t>
      </w:r>
      <w:r>
        <w:fldChar w:fldCharType="begin">
          <w:ffData>
            <w:name w:val="Field3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plus interest at </w:t>
      </w:r>
      <w:r>
        <w:fldChar w:fldCharType="begin">
          <w:ffData>
            <w:name w:val="Field3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per year, plus fees and charges (art. 2660 et seq. C.C.Q.).</w:t>
      </w:r>
    </w:p>
    <w:p>
      <w:pPr>
        <w:keepNext/>
        <w:spacing w:after="60" w:before="180"/>
      </w:pPr>
      <w:r>
        <w:rPr>
          <w:rFonts w:ascii="Arial" w:cs="Arial" w:eastAsia="Arial" w:hAnsi="Arial"/>
          <w:b/>
          <w:bCs/>
          <w:sz w:val="22"/>
          <w:szCs w:val="22"/>
        </w:rPr>
        <w:t xml:space="preserve">4.2  Property Description</w:t>
      </w:r>
    </w:p>
    <w:p>
      <w:pPr>
        <w:spacing w:after="100" w:line="280"/>
        <w:jc w:val="both"/>
      </w:pPr>
      <w:r>
        <w:rPr>
          <w:rFonts w:ascii="Arial" w:cs="Arial" w:eastAsia="Arial" w:hAnsi="Arial"/>
          <w:sz w:val="22"/>
          <w:szCs w:val="22"/>
        </w:rPr>
        <w:t xml:space="preserve">Civic address: </w:t>
      </w:r>
      <w:r>
        <w:fldChar w:fldCharType="begin">
          <w:ffData>
            <w:name w:val="Field32"/>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Property type: </w:t>
      </w:r>
      <w:r>
        <w:fldChar w:fldCharType="begin">
          <w:ffData>
            <w:name w:val="Field3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(multi-residential / commercial / mixed-use / other)</w:t>
      </w:r>
    </w:p>
    <w:p>
      <w:pPr>
        <w:spacing w:after="100" w:line="280"/>
        <w:jc w:val="both"/>
      </w:pPr>
      <w:r>
        <w:rPr>
          <w:rFonts w:ascii="Arial" w:cs="Arial" w:eastAsia="Arial" w:hAnsi="Arial"/>
          <w:sz w:val="22"/>
          <w:szCs w:val="22"/>
        </w:rPr>
        <w:t xml:space="preserve">Year of construction: </w:t>
      </w:r>
      <w:r>
        <w:fldChar w:fldCharType="begin">
          <w:ffData>
            <w:name w:val="Field3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Area: </w:t>
      </w:r>
      <w:r>
        <w:fldChar w:fldCharType="begin">
          <w:ffData>
            <w:name w:val="Field3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sq. ft. / m²</w:t>
      </w:r>
    </w:p>
    <w:p>
      <w:pPr>
        <w:spacing w:after="100" w:line="280"/>
        <w:jc w:val="both"/>
      </w:pPr>
      <w:r>
        <w:rPr>
          <w:rFonts w:ascii="Arial" w:cs="Arial" w:eastAsia="Arial" w:hAnsi="Arial"/>
          <w:sz w:val="22"/>
          <w:szCs w:val="22"/>
        </w:rPr>
        <w:t xml:space="preserve">Cadastral lot(s) — see the table below (the notary may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Lot Number (Quebec Cadastre)</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Land Registry Division</w:t>
            </w:r>
          </w:p>
        </w:tc>
        <w:tc>
          <w:tcPr>
            <w:tcW w:type="dxa" w:w="3120"/>
            <w:tcBorders>
              <w:top w:val="single" w:color="888888" w:sz="6"/>
              <w:left w:val="single" w:color="888888" w:sz="6"/>
              <w:bottom w:val="single" w:color="888888" w:sz="6"/>
              <w:right w:val="single" w:color="888888" w:sz="6"/>
            </w:tcBorders>
            <w:shd w:fill="D9D9D9" w:val="clear"/>
            <w:tcMar>
              <w:top w:type="dxa" w:w="80"/>
              <w:left w:type="dxa" w:w="120"/>
              <w:bottom w:type="dxa" w:w="80"/>
              <w:right w:type="dxa" w:w="120"/>
            </w:tcMar>
          </w:tcPr>
          <w:p>
            <w:r>
              <w:rPr>
                <w:rFonts w:ascii="Arial" w:cs="Arial" w:eastAsia="Arial" w:hAnsi="Arial"/>
                <w:b/>
                <w:bCs/>
                <w:sz w:val="20"/>
                <w:szCs w:val="20"/>
              </w:rPr>
              <w:t xml:space="preserve">Area / Description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Arial" w:cs="Arial" w:eastAsia="Arial" w:hAnsi="Arial"/>
                <w:sz w:val="22"/>
                <w:szCs w:val="22"/>
              </w:rPr>
              <w:t xml:space="preserve"> </w:t>
            </w:r>
          </w:p>
        </w:tc>
      </w:tr>
    </w:tbl>
    <w:p>
      <w:pPr>
        <w:spacing w:after="60"/>
      </w:pPr>
      <w:r>
        <w:rPr>
          <w:rFonts w:ascii="Arial" w:cs="Arial" w:eastAsia="Arial" w:hAnsi="Arial"/>
          <w:i/>
          <w:iCs/>
          <w:color w:val="808080"/>
          <w:sz w:val="18"/>
          <w:szCs w:val="18"/>
        </w:rPr>
        <w:t xml:space="preserve">(The notary may add or remove rows in the table according to the number of lots concerned.)</w:t>
      </w:r>
    </w:p>
    <w:p>
      <w:pPr>
        <w:spacing w:after="100" w:line="280"/>
        <w:jc w:val="both"/>
      </w:pPr>
      <w:r>
        <w:rPr>
          <w:rFonts w:ascii="Arial" w:cs="Arial" w:eastAsia="Arial" w:hAnsi="Arial"/>
          <w:sz w:val="22"/>
          <w:szCs w:val="22"/>
        </w:rPr>
        <w:t xml:space="preserve">Complete cadastral designation:</w:t>
      </w:r>
    </w:p>
    <w:p>
      <w:pPr>
        <w:spacing w:after="100" w:line="280"/>
        <w:jc w:val="both"/>
      </w:pPr>
      <w:r>
        <w:fldChar w:fldCharType="begin">
          <w:ffData>
            <w:name w:val="Field36"/>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3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fldChar w:fldCharType="begin">
          <w:ffData>
            <w:name w:val="Field38"/>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00" w:line="280"/>
        <w:jc w:val="both"/>
      </w:pPr>
      <w:r>
        <w:rPr>
          <w:rFonts w:ascii="Arial" w:cs="Arial" w:eastAsia="Arial" w:hAnsi="Arial"/>
          <w:sz w:val="22"/>
          <w:szCs w:val="22"/>
        </w:rPr>
        <w:t xml:space="preserve">Municipal assessed value: CAD </w:t>
      </w:r>
      <w:r>
        <w:fldChar w:fldCharType="begin">
          <w:ffData>
            <w:name w:val="Field39"/>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Market value (accredited AACI appraisal): CAD </w:t>
      </w:r>
      <w:r>
        <w:fldChar w:fldCharType="begin">
          <w:ffData>
            <w:name w:val="Field40"/>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Annual gross rental income: CAD </w:t>
      </w:r>
      <w:r>
        <w:fldChar w:fldCharType="begin">
          <w:ffData>
            <w:name w:val="Field4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Stabilized net income: CAD </w:t>
      </w:r>
      <w:r>
        <w:fldChar w:fldCharType="begin">
          <w:ffData>
            <w:name w:val="Field42"/>
            <w:enabled/>
            <w:calcOnExit w:val="0"/>
            <w:textInput/>
          </w:ffData>
        </w:fldChar>
      </w:r>
      <w:r>
        <w:instrText xml:space="preserve"> FORMTEXT </w:instrText>
      </w:r>
      <w:r>
        <w:fldChar w:fldCharType="separate"/>
      </w:r>
      <w:r>
        <w:t xml:space="preserve">_________________</w:t>
      </w:r>
      <w:r>
        <w:fldChar w:fldCharType="end"/>
      </w:r>
    </w:p>
    <w:p>
      <w:pPr>
        <w:spacing w:after="100" w:line="280"/>
        <w:jc w:val="both"/>
      </w:pPr>
      <w:r>
        <w:rPr>
          <w:rFonts w:ascii="Arial" w:cs="Arial" w:eastAsia="Arial" w:hAnsi="Arial"/>
          <w:sz w:val="22"/>
          <w:szCs w:val="22"/>
        </w:rPr>
        <w:t xml:space="preserve">Current occupancy rate: </w:t>
      </w:r>
      <w:r>
        <w:fldChar w:fldCharType="begin">
          <w:ffData>
            <w:name w:val="Field4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4.3  Declaration of Ownership and Rank</w:t>
      </w:r>
    </w:p>
    <w:p>
      <w:pPr>
        <w:spacing w:after="100" w:line="280"/>
        <w:jc w:val="both"/>
      </w:pPr>
      <w:r>
        <w:rPr>
          <w:rFonts w:ascii="Arial" w:cs="Arial" w:eastAsia="Arial" w:hAnsi="Arial"/>
          <w:sz w:val="22"/>
          <w:szCs w:val="22"/>
        </w:rPr>
        <w:t xml:space="preserve">The Borrower declares to be the sole owner of the Property. After discharge of the Former Lender's mortgage, the Mortgage granted hereby shall be of first rank. No other charge, mortgage, servitude, or claim shall affect the Property, except: </w:t>
      </w:r>
      <w:r>
        <w:fldChar w:fldCharType="begin">
          <w:ffData>
            <w:name w:val="Field44"/>
            <w:enabled/>
            <w:calcOnExit w:val="0"/>
            <w:textInput/>
          </w:ffData>
        </w:fldChar>
      </w:r>
      <w:r>
        <w:instrText xml:space="preserve"> FORMTEXT </w:instrText>
      </w:r>
      <w:r>
        <w:fldChar w:fldCharType="separate"/>
      </w:r>
      <w:r>
        <w:t xml:space="preserve">________________________________________________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4.4  Scope</w:t>
      </w:r>
    </w:p>
    <w:p>
      <w:pPr>
        <w:spacing w:after="100" w:line="280"/>
        <w:jc w:val="both"/>
      </w:pPr>
      <w:r>
        <w:rPr>
          <w:rFonts w:ascii="Arial" w:cs="Arial" w:eastAsia="Arial" w:hAnsi="Arial"/>
          <w:sz w:val="22"/>
          <w:szCs w:val="22"/>
        </w:rPr>
        <w:t xml:space="preserve">The Mortgage extends to the Property as it currently exists, with all improvements, accessories, equipment, and installations permanently affixed, as well as to rents and revenues pursuant to Article 4.5.</w:t>
      </w:r>
    </w:p>
    <w:p>
      <w:pPr>
        <w:keepNext/>
        <w:spacing w:after="60" w:before="180"/>
      </w:pPr>
      <w:r>
        <w:rPr>
          <w:rFonts w:ascii="Arial" w:cs="Arial" w:eastAsia="Arial" w:hAnsi="Arial"/>
          <w:b/>
          <w:bCs/>
          <w:sz w:val="22"/>
          <w:szCs w:val="22"/>
        </w:rPr>
        <w:t xml:space="preserve">4.5  Assignment of Rents</w:t>
      </w:r>
    </w:p>
    <w:p>
      <w:pPr>
        <w:spacing w:after="100" w:line="280"/>
        <w:jc w:val="both"/>
      </w:pPr>
      <w:r>
        <w:rPr>
          <w:rFonts w:ascii="Arial" w:cs="Arial" w:eastAsia="Arial" w:hAnsi="Arial"/>
          <w:sz w:val="22"/>
          <w:szCs w:val="22"/>
        </w:rPr>
        <w:t xml:space="preserve">As additional security, the Borrower hereby assigns and mortgages in favour of the Lender all rents, leases, and revenues, present and future, of the Property (art. 2695 C.C.Q.). This assignment shall become effective only upon an Event of Default.</w:t>
      </w:r>
    </w:p>
    <w:p>
      <w:pPr>
        <w:keepNext/>
        <w:spacing w:after="60" w:before="180"/>
      </w:pPr>
      <w:r>
        <w:rPr>
          <w:rFonts w:ascii="Arial" w:cs="Arial" w:eastAsia="Arial" w:hAnsi="Arial"/>
          <w:b/>
          <w:bCs/>
          <w:sz w:val="22"/>
          <w:szCs w:val="22"/>
        </w:rPr>
        <w:t xml:space="preserve">4.6  Additional Restrictions</w:t>
      </w:r>
    </w:p>
    <w:p>
      <w:pPr>
        <w:spacing w:after="100" w:line="280"/>
        <w:jc w:val="both"/>
      </w:pPr>
      <w:r>
        <w:rPr>
          <w:rFonts w:ascii="Arial" w:cs="Arial" w:eastAsia="Arial" w:hAnsi="Arial"/>
          <w:sz w:val="22"/>
          <w:szCs w:val="22"/>
        </w:rPr>
        <w:t xml:space="preserve">Without the prior written consent of the Lender, the Borrower shall not:</w:t>
      </w:r>
    </w:p>
    <w:p>
      <w:pPr>
        <w:pStyle w:val="ListParagraph"/>
        <w:numPr>
          <w:ilvl w:val="0"/>
          <w:numId w:val="2"/>
        </w:numPr>
        <w:spacing w:after="60"/>
      </w:pPr>
      <w:r>
        <w:rPr>
          <w:rFonts w:ascii="Arial" w:cs="Arial" w:eastAsia="Arial" w:hAnsi="Arial"/>
          <w:sz w:val="22"/>
          <w:szCs w:val="22"/>
        </w:rPr>
        <w:t xml:space="preserve">Constitute any additional charge, mortgage, or security on the Property;</w:t>
      </w:r>
    </w:p>
    <w:p>
      <w:pPr>
        <w:pStyle w:val="ListParagraph"/>
        <w:numPr>
          <w:ilvl w:val="0"/>
          <w:numId w:val="2"/>
        </w:numPr>
        <w:spacing w:after="60"/>
      </w:pPr>
      <w:r>
        <w:rPr>
          <w:rFonts w:ascii="Arial" w:cs="Arial" w:eastAsia="Arial" w:hAnsi="Arial"/>
          <w:sz w:val="22"/>
          <w:szCs w:val="22"/>
        </w:rPr>
        <w:t xml:space="preserve">Sell, alienate, subdivide, fragment, or consolidate the Property;</w:t>
      </w:r>
    </w:p>
    <w:p>
      <w:pPr>
        <w:pStyle w:val="ListParagraph"/>
        <w:numPr>
          <w:ilvl w:val="0"/>
          <w:numId w:val="2"/>
        </w:numPr>
        <w:spacing w:after="60"/>
      </w:pPr>
      <w:r>
        <w:rPr>
          <w:rFonts w:ascii="Arial" w:cs="Arial" w:eastAsia="Arial" w:hAnsi="Arial"/>
          <w:sz w:val="22"/>
          <w:szCs w:val="22"/>
        </w:rPr>
        <w:t xml:space="preserve">Enter into any long-term lease (more than five years) on off-market terms;</w:t>
      </w:r>
    </w:p>
    <w:p>
      <w:pPr>
        <w:pStyle w:val="ListParagraph"/>
        <w:numPr>
          <w:ilvl w:val="0"/>
          <w:numId w:val="2"/>
        </w:numPr>
        <w:spacing w:after="60"/>
      </w:pPr>
      <w:r>
        <w:rPr>
          <w:rFonts w:ascii="Arial" w:cs="Arial" w:eastAsia="Arial" w:hAnsi="Arial"/>
          <w:sz w:val="22"/>
          <w:szCs w:val="22"/>
        </w:rPr>
        <w:t xml:space="preserve">Substantially modify the nature or use of the Property.</w:t>
      </w:r>
    </w:p>
    <w:p>
      <w:pPr>
        <w:keepNext/>
        <w:spacing w:after="60" w:before="180"/>
      </w:pPr>
      <w:r>
        <w:rPr>
          <w:rFonts w:ascii="Arial" w:cs="Arial" w:eastAsia="Arial" w:hAnsi="Arial"/>
          <w:b/>
          <w:bCs/>
          <w:sz w:val="22"/>
          <w:szCs w:val="22"/>
        </w:rPr>
        <w:t xml:space="preserve">4.7  Registration</w:t>
      </w:r>
    </w:p>
    <w:p>
      <w:pPr>
        <w:spacing w:after="100" w:line="280"/>
        <w:jc w:val="both"/>
      </w:pPr>
      <w:r>
        <w:rPr>
          <w:rFonts w:ascii="Arial" w:cs="Arial" w:eastAsia="Arial" w:hAnsi="Arial"/>
          <w:sz w:val="22"/>
          <w:szCs w:val="22"/>
        </w:rPr>
        <w:t xml:space="preserve">This deed shall be published at the Land Registry, registration division of </w:t>
      </w:r>
      <w:r>
        <w:fldChar w:fldCharType="begin">
          <w:ffData>
            <w:name w:val="Field4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at the expense of the Borrower, simultaneously with the discharge of the Former Lender's mortgage.</w:t>
      </w:r>
    </w:p>
    <w:p>
      <w:pPr>
        <w:keepNext/>
        <w:spacing w:after="120" w:before="240"/>
      </w:pPr>
      <w:r>
        <w:rPr>
          <w:rFonts w:ascii="Arial" w:cs="Arial" w:eastAsia="Arial" w:hAnsi="Arial"/>
          <w:b/>
          <w:bCs/>
          <w:sz w:val="24"/>
          <w:szCs w:val="24"/>
        </w:rPr>
        <w:t xml:space="preserve">ARTICLE 5 — SPECIFIC REFINANCING PROVISIONS</w:t>
      </w:r>
    </w:p>
    <w:p>
      <w:pPr>
        <w:keepNext/>
        <w:spacing w:after="60" w:before="180"/>
      </w:pPr>
      <w:r>
        <w:rPr>
          <w:rFonts w:ascii="Arial" w:cs="Arial" w:eastAsia="Arial" w:hAnsi="Arial"/>
          <w:b/>
          <w:bCs/>
          <w:sz w:val="22"/>
          <w:szCs w:val="22"/>
        </w:rPr>
        <w:t xml:space="preserve">5.1  Discharge from Former Lender</w:t>
      </w:r>
    </w:p>
    <w:p>
      <w:pPr>
        <w:spacing w:after="100" w:line="280"/>
        <w:jc w:val="both"/>
      </w:pPr>
      <w:r>
        <w:rPr>
          <w:rFonts w:ascii="Arial" w:cs="Arial" w:eastAsia="Arial" w:hAnsi="Arial"/>
          <w:sz w:val="22"/>
          <w:szCs w:val="22"/>
        </w:rPr>
        <w:t xml:space="preserve">Prior to or simultaneously with disbursement, the Borrower must obtain and deliver to the notary:</w:t>
      </w:r>
    </w:p>
    <w:p>
      <w:pPr>
        <w:pStyle w:val="ListParagraph"/>
        <w:numPr>
          <w:ilvl w:val="0"/>
          <w:numId w:val="2"/>
        </w:numPr>
        <w:spacing w:after="60"/>
      </w:pPr>
      <w:r>
        <w:rPr>
          <w:rFonts w:ascii="Arial" w:cs="Arial" w:eastAsia="Arial" w:hAnsi="Arial"/>
          <w:sz w:val="22"/>
          <w:szCs w:val="22"/>
        </w:rPr>
        <w:t xml:space="preserve">A final discharge from the Former Lender certifying full payment of the outstanding balance;</w:t>
      </w:r>
    </w:p>
    <w:p>
      <w:pPr>
        <w:pStyle w:val="ListParagraph"/>
        <w:numPr>
          <w:ilvl w:val="0"/>
          <w:numId w:val="2"/>
        </w:numPr>
        <w:spacing w:after="60"/>
      </w:pPr>
      <w:r>
        <w:rPr>
          <w:rFonts w:ascii="Arial" w:cs="Arial" w:eastAsia="Arial" w:hAnsi="Arial"/>
          <w:sz w:val="22"/>
          <w:szCs w:val="22"/>
        </w:rPr>
        <w:t xml:space="preserve">A complete mortgage discharge duly registered at the Land Registry.</w:t>
      </w:r>
    </w:p>
    <w:p>
      <w:pPr>
        <w:keepNext/>
        <w:spacing w:after="60" w:before="180"/>
      </w:pPr>
      <w:r>
        <w:rPr>
          <w:rFonts w:ascii="Arial" w:cs="Arial" w:eastAsia="Arial" w:hAnsi="Arial"/>
          <w:b/>
          <w:bCs/>
          <w:sz w:val="22"/>
          <w:szCs w:val="22"/>
        </w:rPr>
        <w:t xml:space="preserve">5.2  Controlled Allocation of Surplus Funds</w:t>
      </w:r>
    </w:p>
    <w:p>
      <w:pPr>
        <w:spacing w:after="100" w:line="280"/>
        <w:jc w:val="both"/>
      </w:pPr>
      <w:r>
        <w:rPr>
          <w:rFonts w:ascii="Arial" w:cs="Arial" w:eastAsia="Arial" w:hAnsi="Arial"/>
          <w:sz w:val="22"/>
          <w:szCs w:val="22"/>
        </w:rPr>
        <w:t xml:space="preserve">Funds in excess of the repayment of the Former Lender and fees (the "Additional Funds") shall, at the Lender's request, be released progressively against supporting documentation (invoices, contracts, etc.) according to the use declared in Article 1.2.</w:t>
      </w:r>
    </w:p>
    <w:p>
      <w:pPr>
        <w:keepNext/>
        <w:spacing w:after="60" w:before="180"/>
      </w:pPr>
      <w:r>
        <w:rPr>
          <w:rFonts w:ascii="Arial" w:cs="Arial" w:eastAsia="Arial" w:hAnsi="Arial"/>
          <w:b/>
          <w:bCs/>
          <w:sz w:val="22"/>
          <w:szCs w:val="22"/>
        </w:rPr>
        <w:t xml:space="preserve">5.3  Maintenance of Conditions</w:t>
      </w:r>
    </w:p>
    <w:p>
      <w:pPr>
        <w:spacing w:after="100" w:line="280"/>
        <w:jc w:val="both"/>
      </w:pPr>
      <w:r>
        <w:rPr>
          <w:rFonts w:ascii="Arial" w:cs="Arial" w:eastAsia="Arial" w:hAnsi="Arial"/>
          <w:sz w:val="22"/>
          <w:szCs w:val="22"/>
        </w:rPr>
        <w:t xml:space="preserve">The Borrower undertakes, throughout the duration of the Loan, to:</w:t>
      </w:r>
    </w:p>
    <w:p>
      <w:pPr>
        <w:pStyle w:val="ListParagraph"/>
        <w:numPr>
          <w:ilvl w:val="0"/>
          <w:numId w:val="2"/>
        </w:numPr>
        <w:spacing w:after="60"/>
      </w:pPr>
      <w:r>
        <w:rPr>
          <w:rFonts w:ascii="Arial" w:cs="Arial" w:eastAsia="Arial" w:hAnsi="Arial"/>
          <w:sz w:val="22"/>
          <w:szCs w:val="22"/>
        </w:rPr>
        <w:t xml:space="preserve">Maintain the Property in good condition and in compliance with all applicable regulations;</w:t>
      </w:r>
    </w:p>
    <w:p>
      <w:pPr>
        <w:pStyle w:val="ListParagraph"/>
        <w:numPr>
          <w:ilvl w:val="0"/>
          <w:numId w:val="2"/>
        </w:numPr>
        <w:spacing w:after="60"/>
      </w:pPr>
      <w:r>
        <w:rPr>
          <w:rFonts w:ascii="Arial" w:cs="Arial" w:eastAsia="Arial" w:hAnsi="Arial"/>
          <w:sz w:val="22"/>
          <w:szCs w:val="22"/>
        </w:rPr>
        <w:t xml:space="preserve">Maintain the occupancy rate and rental income at least equivalent to those declared in Article 4.2;</w:t>
      </w:r>
    </w:p>
    <w:p>
      <w:pPr>
        <w:pStyle w:val="ListParagraph"/>
        <w:numPr>
          <w:ilvl w:val="0"/>
          <w:numId w:val="2"/>
        </w:numPr>
        <w:spacing w:after="60"/>
      </w:pPr>
      <w:r>
        <w:rPr>
          <w:rFonts w:ascii="Arial" w:cs="Arial" w:eastAsia="Arial" w:hAnsi="Arial"/>
          <w:sz w:val="22"/>
          <w:szCs w:val="22"/>
        </w:rPr>
        <w:t xml:space="preserve">Not allow the DCR to fall below the threshold of 1.20x;</w:t>
      </w:r>
    </w:p>
    <w:p>
      <w:pPr>
        <w:pStyle w:val="ListParagraph"/>
        <w:numPr>
          <w:ilvl w:val="0"/>
          <w:numId w:val="2"/>
        </w:numPr>
        <w:spacing w:after="60"/>
      </w:pPr>
      <w:r>
        <w:rPr>
          <w:rFonts w:ascii="Arial" w:cs="Arial" w:eastAsia="Arial" w:hAnsi="Arial"/>
          <w:sz w:val="22"/>
          <w:szCs w:val="22"/>
        </w:rPr>
        <w:t xml:space="preserve">Provide the Lender, upon request and at minimum semi-annually, the financial statements and operating report of the Property.</w:t>
      </w:r>
    </w:p>
    <w:p>
      <w:pPr>
        <w:keepNext/>
        <w:spacing w:after="60" w:before="180"/>
      </w:pPr>
      <w:r>
        <w:rPr>
          <w:rFonts w:ascii="Arial" w:cs="Arial" w:eastAsia="Arial" w:hAnsi="Arial"/>
          <w:b/>
          <w:bCs/>
          <w:sz w:val="22"/>
          <w:szCs w:val="22"/>
        </w:rPr>
        <w:t xml:space="preserve">5.4  Taxes, Charges, and Current Obligations — ZERO TOLERANCE</w:t>
      </w:r>
    </w:p>
    <w:p>
      <w:pPr>
        <w:spacing w:after="100" w:line="280"/>
        <w:jc w:val="both"/>
      </w:pPr>
      <w:r>
        <w:rPr>
          <w:rFonts w:ascii="Arial" w:cs="Arial" w:eastAsia="Arial" w:hAnsi="Arial"/>
          <w:sz w:val="22"/>
          <w:szCs w:val="22"/>
        </w:rPr>
        <w:t xml:space="preserve">The Borrower undertakes to pay punctually when due all property taxes, school taxes, local improvement taxes, municipal charges, insurance premiums, and any other current obligations affecting the Property.</w:t>
      </w:r>
    </w:p>
    <w:p>
      <w:pPr>
        <w:spacing w:after="100" w:line="280"/>
        <w:jc w:val="both"/>
      </w:pPr>
      <w:r>
        <w:rPr>
          <w:rFonts w:ascii="Arial" w:cs="Arial" w:eastAsia="Arial" w:hAnsi="Arial"/>
          <w:b/>
          <w:bCs/>
          <w:sz w:val="22"/>
          <w:szCs w:val="22"/>
        </w:rPr>
        <w:t xml:space="preserve">NO delay is tolerated. In the event of any delay or default in payment, the Borrower undertakes to remedy the situation immediately upon being notified, and at the latest within seven (7) days of a written notice from the Lender. Failing this, an Event of Default shall be automatically declared, and the Lender may: (i) directly pay the claim and add the amount to the principal of the Loan with interest at the default rate; (ii) declare the Loan immediately due and payable and exercise all remedies.</w:t>
      </w:r>
    </w:p>
    <w:p>
      <w:pPr>
        <w:keepNext/>
        <w:spacing w:after="60" w:before="180"/>
      </w:pPr>
      <w:r>
        <w:rPr>
          <w:rFonts w:ascii="Arial" w:cs="Arial" w:eastAsia="Arial" w:hAnsi="Arial"/>
          <w:b/>
          <w:bCs/>
          <w:sz w:val="22"/>
          <w:szCs w:val="22"/>
        </w:rPr>
        <w:t xml:space="preserve">5.5  Insurance</w:t>
      </w:r>
    </w:p>
    <w:p>
      <w:pPr>
        <w:spacing w:after="100" w:line="280"/>
        <w:jc w:val="both"/>
      </w:pPr>
      <w:r>
        <w:rPr>
          <w:rFonts w:ascii="Arial" w:cs="Arial" w:eastAsia="Arial" w:hAnsi="Arial"/>
          <w:sz w:val="22"/>
          <w:szCs w:val="22"/>
        </w:rPr>
        <w:t xml:space="preserve">The Borrower shall maintain in force, throughout the duration of the Loan, the following insurance, with Capital Norvex designated as additional insured or beneficiary:</w:t>
      </w:r>
    </w:p>
    <w:p>
      <w:pPr>
        <w:pStyle w:val="ListParagraph"/>
        <w:numPr>
          <w:ilvl w:val="0"/>
          <w:numId w:val="2"/>
        </w:numPr>
        <w:spacing w:after="60"/>
      </w:pPr>
      <w:r>
        <w:rPr>
          <w:rFonts w:ascii="Arial" w:cs="Arial" w:eastAsia="Arial" w:hAnsi="Arial"/>
          <w:sz w:val="22"/>
          <w:szCs w:val="22"/>
        </w:rPr>
        <w:t xml:space="preserve">"All risks" property insurance covering the replacement value of the Property;</w:t>
      </w:r>
    </w:p>
    <w:p>
      <w:pPr>
        <w:pStyle w:val="ListParagraph"/>
        <w:numPr>
          <w:ilvl w:val="0"/>
          <w:numId w:val="2"/>
        </w:numPr>
        <w:spacing w:after="60"/>
      </w:pPr>
      <w:r>
        <w:rPr>
          <w:rFonts w:ascii="Arial" w:cs="Arial" w:eastAsia="Arial" w:hAnsi="Arial"/>
          <w:sz w:val="22"/>
          <w:szCs w:val="22"/>
        </w:rPr>
        <w:t xml:space="preserve">General civil liability insurance of at least CAD </w:t>
      </w:r>
      <w:r>
        <w:fldChar w:fldCharType="begin">
          <w:ffData>
            <w:name w:val="Field4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Loss-of-rents insurance (where applicable).</w:t>
      </w:r>
    </w:p>
    <w:p>
      <w:pPr>
        <w:keepNext/>
        <w:spacing w:after="120" w:before="240"/>
      </w:pPr>
      <w:r>
        <w:rPr>
          <w:rFonts w:ascii="Arial" w:cs="Arial" w:eastAsia="Arial" w:hAnsi="Arial"/>
          <w:b/>
          <w:bCs/>
          <w:sz w:val="24"/>
          <w:szCs w:val="24"/>
        </w:rPr>
        <w:t xml:space="preserve">ARTICLE 6 — EVENTS OF DEFAULT</w:t>
      </w:r>
    </w:p>
    <w:p>
      <w:pPr>
        <w:keepNext/>
        <w:spacing w:after="60" w:before="180"/>
      </w:pPr>
      <w:r>
        <w:rPr>
          <w:rFonts w:ascii="Arial" w:cs="Arial" w:eastAsia="Arial" w:hAnsi="Arial"/>
          <w:b/>
          <w:bCs/>
          <w:sz w:val="22"/>
          <w:szCs w:val="22"/>
        </w:rPr>
        <w:t xml:space="preserve">6.1  Definition</w:t>
      </w:r>
    </w:p>
    <w:p>
      <w:pPr>
        <w:spacing w:after="100" w:line="280"/>
        <w:jc w:val="both"/>
      </w:pPr>
      <w:r>
        <w:rPr>
          <w:rFonts w:ascii="Arial" w:cs="Arial" w:eastAsia="Arial" w:hAnsi="Arial"/>
          <w:sz w:val="22"/>
          <w:szCs w:val="22"/>
        </w:rPr>
        <w:t xml:space="preserve">The following constitute Events of Default, without prior notice or formal demand other than as provided by law:</w:t>
      </w:r>
    </w:p>
    <w:p>
      <w:pPr>
        <w:pStyle w:val="ListParagraph"/>
        <w:numPr>
          <w:ilvl w:val="0"/>
          <w:numId w:val="2"/>
        </w:numPr>
        <w:spacing w:after="60"/>
      </w:pPr>
      <w:r>
        <w:rPr>
          <w:rFonts w:ascii="Arial" w:cs="Arial" w:eastAsia="Arial" w:hAnsi="Arial"/>
          <w:sz w:val="22"/>
          <w:szCs w:val="22"/>
        </w:rPr>
        <w:t xml:space="preserve">Any payment default at maturity;</w:t>
      </w:r>
    </w:p>
    <w:p>
      <w:pPr>
        <w:pStyle w:val="ListParagraph"/>
        <w:numPr>
          <w:ilvl w:val="0"/>
          <w:numId w:val="2"/>
        </w:numPr>
        <w:spacing w:after="60"/>
      </w:pPr>
      <w:r>
        <w:rPr>
          <w:rFonts w:ascii="Arial" w:cs="Arial" w:eastAsia="Arial" w:hAnsi="Arial"/>
          <w:sz w:val="22"/>
          <w:szCs w:val="22"/>
        </w:rPr>
        <w:t xml:space="preserve">Failure to provide or maintain an acceptable and documented exit strategy;</w:t>
      </w:r>
    </w:p>
    <w:p>
      <w:pPr>
        <w:pStyle w:val="ListParagraph"/>
        <w:numPr>
          <w:ilvl w:val="0"/>
          <w:numId w:val="2"/>
        </w:numPr>
        <w:spacing w:after="60"/>
      </w:pPr>
      <w:r>
        <w:rPr>
          <w:rFonts w:ascii="Arial" w:cs="Arial" w:eastAsia="Arial" w:hAnsi="Arial"/>
          <w:sz w:val="22"/>
          <w:szCs w:val="22"/>
        </w:rPr>
        <w:t xml:space="preserve">Any material misrepresentation by the Borrower, particularly as to the use of funds;</w:t>
      </w:r>
    </w:p>
    <w:p>
      <w:pPr>
        <w:pStyle w:val="ListParagraph"/>
        <w:numPr>
          <w:ilvl w:val="0"/>
          <w:numId w:val="2"/>
        </w:numPr>
        <w:spacing w:after="60"/>
      </w:pPr>
      <w:r>
        <w:rPr>
          <w:rFonts w:ascii="Arial" w:cs="Arial" w:eastAsia="Arial" w:hAnsi="Arial"/>
          <w:sz w:val="22"/>
          <w:szCs w:val="22"/>
        </w:rPr>
        <w:t xml:space="preserve">Use of funds for purposes other than those declared in Article 1.2 (unauthorized cash-out);</w:t>
      </w:r>
    </w:p>
    <w:p>
      <w:pPr>
        <w:pStyle w:val="ListParagraph"/>
        <w:numPr>
          <w:ilvl w:val="0"/>
          <w:numId w:val="2"/>
        </w:numPr>
        <w:spacing w:after="60"/>
      </w:pPr>
      <w:r>
        <w:rPr>
          <w:rFonts w:ascii="Arial" w:cs="Arial" w:eastAsia="Arial" w:hAnsi="Arial"/>
          <w:sz w:val="22"/>
          <w:szCs w:val="22"/>
        </w:rPr>
        <w:t xml:space="preserve">Material deterioration of the LTV or DCR ratios below the thresholds of Article 1.5;</w:t>
      </w:r>
    </w:p>
    <w:p>
      <w:pPr>
        <w:pStyle w:val="ListParagraph"/>
        <w:numPr>
          <w:ilvl w:val="0"/>
          <w:numId w:val="2"/>
        </w:numPr>
        <w:spacing w:after="60"/>
      </w:pPr>
      <w:r>
        <w:rPr>
          <w:rFonts w:ascii="Arial" w:cs="Arial" w:eastAsia="Arial" w:hAnsi="Arial"/>
          <w:sz w:val="22"/>
          <w:szCs w:val="22"/>
        </w:rPr>
        <w:t xml:space="preserve">Registration of any unauthorized additional charge or mortgage;</w:t>
      </w:r>
    </w:p>
    <w:p>
      <w:pPr>
        <w:pStyle w:val="ListParagraph"/>
        <w:numPr>
          <w:ilvl w:val="0"/>
          <w:numId w:val="2"/>
        </w:numPr>
        <w:spacing w:after="60"/>
      </w:pPr>
      <w:r>
        <w:rPr>
          <w:rFonts w:ascii="Arial" w:cs="Arial" w:eastAsia="Arial" w:hAnsi="Arial"/>
          <w:sz w:val="22"/>
          <w:szCs w:val="22"/>
        </w:rPr>
        <w:t xml:space="preserve">Alienation or substantial modification of the Property without prior written authorization;</w:t>
      </w:r>
    </w:p>
    <w:p>
      <w:pPr>
        <w:pStyle w:val="ListParagraph"/>
        <w:numPr>
          <w:ilvl w:val="0"/>
          <w:numId w:val="2"/>
        </w:numPr>
        <w:spacing w:after="60"/>
      </w:pPr>
      <w:r>
        <w:rPr>
          <w:rFonts w:ascii="Arial" w:cs="Arial" w:eastAsia="Arial" w:hAnsi="Arial"/>
          <w:sz w:val="22"/>
          <w:szCs w:val="22"/>
        </w:rPr>
        <w:t xml:space="preserve">Failure to maintain in force the required insurance and permits;</w:t>
      </w:r>
    </w:p>
    <w:p>
      <w:pPr>
        <w:pStyle w:val="ListParagraph"/>
        <w:numPr>
          <w:ilvl w:val="0"/>
          <w:numId w:val="2"/>
        </w:numPr>
        <w:spacing w:after="60"/>
      </w:pPr>
      <w:r>
        <w:rPr>
          <w:rFonts w:ascii="Arial" w:cs="Arial" w:eastAsia="Arial" w:hAnsi="Arial"/>
          <w:sz w:val="22"/>
          <w:szCs w:val="22"/>
        </w:rPr>
        <w:t xml:space="preserve">Insolvency, bankruptcy, or receivership of the Borrower;</w:t>
      </w:r>
    </w:p>
    <w:p>
      <w:pPr>
        <w:pStyle w:val="ListParagraph"/>
        <w:numPr>
          <w:ilvl w:val="0"/>
          <w:numId w:val="2"/>
        </w:numPr>
        <w:spacing w:after="60"/>
      </w:pPr>
      <w:r>
        <w:rPr>
          <w:rFonts w:ascii="Arial" w:cs="Arial" w:eastAsia="Arial" w:hAnsi="Arial"/>
          <w:sz w:val="22"/>
          <w:szCs w:val="22"/>
        </w:rPr>
        <w:t xml:space="preserve">Any other breach of the obligations under this deed not remedied within fifteen (15) days of notice from the Lender.</w:t>
      </w:r>
    </w:p>
    <w:p>
      <w:pPr>
        <w:keepNext/>
        <w:spacing w:after="60" w:before="180"/>
      </w:pPr>
      <w:r>
        <w:rPr>
          <w:rFonts w:ascii="Arial" w:cs="Arial" w:eastAsia="Arial" w:hAnsi="Arial"/>
          <w:b/>
          <w:bCs/>
          <w:sz w:val="22"/>
          <w:szCs w:val="22"/>
        </w:rPr>
        <w:t xml:space="preserve">6.2  Remedies</w:t>
      </w:r>
    </w:p>
    <w:p>
      <w:pPr>
        <w:spacing w:after="100" w:line="280"/>
        <w:jc w:val="both"/>
      </w:pPr>
      <w:r>
        <w:rPr>
          <w:rFonts w:ascii="Arial" w:cs="Arial" w:eastAsia="Arial" w:hAnsi="Arial"/>
          <w:sz w:val="22"/>
          <w:szCs w:val="22"/>
        </w:rPr>
        <w:t xml:space="preserve">Upon an Event of Default, the Lender may, at its sole discretion: (i) declare the Loan immediately due and payable; (ii) exercise all hypothecary remedies (art. 2748 et seq. C.C.Q.), including taking in payment, sale by judicial authority, and sale by the creditor; (iii) directly collect rents under the assignment; (iv) enforce the suretyships; (v) cumulate remedies.</w:t>
      </w:r>
    </w:p>
    <w:p>
      <w:pPr>
        <w:keepNext/>
        <w:spacing w:after="120" w:before="240"/>
      </w:pPr>
      <w:r>
        <w:rPr>
          <w:rFonts w:ascii="Arial" w:cs="Arial" w:eastAsia="Arial" w:hAnsi="Arial"/>
          <w:b/>
          <w:bCs/>
          <w:sz w:val="24"/>
          <w:szCs w:val="24"/>
        </w:rPr>
        <w:t xml:space="preserve">ARTICLE 7 — PERSONAL SURETYSHIP (IF APPLICABLE)</w:t>
      </w:r>
    </w:p>
    <w:p>
      <w:pPr>
        <w:spacing w:after="100" w:line="280"/>
        <w:jc w:val="both"/>
      </w:pPr>
      <w:r>
        <w:rPr>
          <w:rFonts w:ascii="Arial" w:cs="Arial" w:eastAsia="Arial" w:hAnsi="Arial"/>
          <w:sz w:val="22"/>
          <w:szCs w:val="22"/>
        </w:rPr>
        <w:t xml:space="preserve">The Guarantor(s) hereby become(s) joint and several surety(ies) for all obligations of the Borrower hereunder, without benefit of discussion or division (art. 2333 et seq. C.C.Q.).</w:t>
      </w:r>
    </w:p>
    <w:p>
      <w:pPr>
        <w:keepNext/>
        <w:spacing w:after="120" w:before="240"/>
      </w:pPr>
      <w:r>
        <w:rPr>
          <w:rFonts w:ascii="Arial" w:cs="Arial" w:eastAsia="Arial" w:hAnsi="Arial"/>
          <w:b/>
          <w:bCs/>
          <w:sz w:val="24"/>
          <w:szCs w:val="24"/>
        </w:rPr>
        <w:t xml:space="preserve">ARTICLE 8 — GENERAL PROVISIONS</w:t>
      </w:r>
    </w:p>
    <w:p>
      <w:pPr>
        <w:keepNext/>
        <w:spacing w:after="60" w:before="180"/>
      </w:pPr>
      <w:r>
        <w:rPr>
          <w:rFonts w:ascii="Arial" w:cs="Arial" w:eastAsia="Arial" w:hAnsi="Arial"/>
          <w:b/>
          <w:bCs/>
          <w:sz w:val="22"/>
          <w:szCs w:val="22"/>
        </w:rPr>
        <w:t xml:space="preserve">8.1  Governing Law</w:t>
      </w:r>
    </w:p>
    <w:p>
      <w:pPr>
        <w:spacing w:after="100" w:line="280"/>
        <w:jc w:val="both"/>
      </w:pPr>
      <w:r>
        <w:rPr>
          <w:rFonts w:ascii="Arial" w:cs="Arial" w:eastAsia="Arial" w:hAnsi="Arial"/>
          <w:sz w:val="22"/>
          <w:szCs w:val="22"/>
        </w:rPr>
        <w:t xml:space="preserve">This deed is governed by the laws of the Province of Québec. Any dispute shall be submitted to the courts of the district of </w:t>
      </w:r>
      <w:r>
        <w:fldChar w:fldCharType="begin">
          <w:ffData>
            <w:name w:val="Field4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keepNext/>
        <w:spacing w:after="60" w:before="180"/>
      </w:pPr>
      <w:r>
        <w:rPr>
          <w:rFonts w:ascii="Arial" w:cs="Arial" w:eastAsia="Arial" w:hAnsi="Arial"/>
          <w:b/>
          <w:bCs/>
          <w:sz w:val="22"/>
          <w:szCs w:val="22"/>
        </w:rPr>
        <w:t xml:space="preserve">8.2  Language</w:t>
      </w:r>
    </w:p>
    <w:p>
      <w:pPr>
        <w:spacing w:after="100" w:line="280"/>
        <w:jc w:val="both"/>
      </w:pPr>
      <w:r>
        <w:rPr>
          <w:rFonts w:ascii="Arial" w:cs="Arial" w:eastAsia="Arial" w:hAnsi="Arial"/>
          <w:sz w:val="22"/>
          <w:szCs w:val="22"/>
        </w:rPr>
        <w:t xml:space="preserve">The Parties have required this deed to be drafted in English. Les parties ont requis la rédaction du présent acte en anglais.</w:t>
      </w:r>
    </w:p>
    <w:p>
      <w:pPr>
        <w:keepNext/>
        <w:spacing w:after="60" w:before="180"/>
      </w:pPr>
      <w:r>
        <w:rPr>
          <w:rFonts w:ascii="Arial" w:cs="Arial" w:eastAsia="Arial" w:hAnsi="Arial"/>
          <w:b/>
          <w:bCs/>
          <w:sz w:val="22"/>
          <w:szCs w:val="22"/>
        </w:rPr>
        <w:t xml:space="preserve">8.3  Notices</w:t>
      </w:r>
    </w:p>
    <w:p>
      <w:pPr>
        <w:spacing w:after="100" w:line="280"/>
        <w:jc w:val="both"/>
      </w:pPr>
      <w:r>
        <w:rPr>
          <w:rFonts w:ascii="Arial" w:cs="Arial" w:eastAsia="Arial" w:hAnsi="Arial"/>
          <w:sz w:val="22"/>
          <w:szCs w:val="22"/>
        </w:rPr>
        <w:t xml:space="preserve">Any notice shall be given by registered mail, email (with read receipt), or hand delivery to the addresses indicated in the heading of this deed.</w:t>
      </w:r>
    </w:p>
    <w:p>
      <w:pPr>
        <w:keepNext/>
        <w:spacing w:after="60" w:before="180"/>
      </w:pPr>
      <w:r>
        <w:rPr>
          <w:rFonts w:ascii="Arial" w:cs="Arial" w:eastAsia="Arial" w:hAnsi="Arial"/>
          <w:b/>
          <w:bCs/>
          <w:sz w:val="22"/>
          <w:szCs w:val="22"/>
        </w:rPr>
        <w:t xml:space="preserve">8.4  Fees</w:t>
      </w:r>
    </w:p>
    <w:p>
      <w:pPr>
        <w:spacing w:after="100" w:line="280"/>
        <w:jc w:val="both"/>
      </w:pPr>
      <w:r>
        <w:rPr>
          <w:rFonts w:ascii="Arial" w:cs="Arial" w:eastAsia="Arial" w:hAnsi="Arial"/>
          <w:sz w:val="22"/>
          <w:szCs w:val="22"/>
        </w:rPr>
        <w:t xml:space="preserve">All fees (notarial fees, registration, appraisal, environmental study, insurance premiums, lawyers' fees in case of default) are at the exclusive expense of the Borrower.</w:t>
      </w:r>
    </w:p>
    <w:p>
      <w:pPr>
        <w:keepNext/>
        <w:spacing w:after="60" w:before="180"/>
      </w:pPr>
      <w:r>
        <w:rPr>
          <w:rFonts w:ascii="Arial" w:cs="Arial" w:eastAsia="Arial" w:hAnsi="Arial"/>
          <w:b/>
          <w:bCs/>
          <w:sz w:val="22"/>
          <w:szCs w:val="22"/>
        </w:rPr>
        <w:t xml:space="preserve">8.5  FINTRAC / PCMLTFA</w:t>
      </w:r>
    </w:p>
    <w:p>
      <w:pPr>
        <w:spacing w:after="100" w:line="280"/>
        <w:jc w:val="both"/>
      </w:pPr>
      <w:r>
        <w:rPr>
          <w:rFonts w:ascii="Arial" w:cs="Arial" w:eastAsia="Arial" w:hAnsi="Arial"/>
          <w:sz w:val="22"/>
          <w:szCs w:val="22"/>
        </w:rPr>
        <w:t xml:space="preserve">The Lender has carried out identity verification, source of funds verification, and required controls in accordance with the Proceeds of Crime (Money Laundering) and Terrorist Financing Act (PCMLTFA).</w:t>
      </w:r>
    </w:p>
    <w:p>
      <w:pPr>
        <w:keepNext/>
        <w:spacing w:after="60" w:before="180"/>
      </w:pPr>
      <w:r>
        <w:rPr>
          <w:rFonts w:ascii="Arial" w:cs="Arial" w:eastAsia="Arial" w:hAnsi="Arial"/>
          <w:b/>
          <w:bCs/>
          <w:sz w:val="22"/>
          <w:szCs w:val="22"/>
        </w:rPr>
        <w:t xml:space="preserve">8.6  Entire Agreement</w:t>
      </w:r>
    </w:p>
    <w:p>
      <w:pPr>
        <w:spacing w:after="100" w:line="280"/>
        <w:jc w:val="both"/>
      </w:pPr>
      <w:r>
        <w:rPr>
          <w:rFonts w:ascii="Arial" w:cs="Arial" w:eastAsia="Arial" w:hAnsi="Arial"/>
          <w:sz w:val="22"/>
          <w:szCs w:val="22"/>
        </w:rPr>
        <w:t xml:space="preserve">This deed, together with its schedules and the Loan Agreement referred to in Article 8.7, constitutes the entire agreement between the Parties with respect to the Loan and supersedes any prior verbal or written agreement.</w:t>
      </w:r>
    </w:p>
    <w:p>
      <w:pPr>
        <w:keepNext/>
        <w:spacing w:after="60" w:before="180"/>
      </w:pPr>
      <w:r>
        <w:rPr>
          <w:rFonts w:ascii="Arial" w:cs="Arial" w:eastAsia="Arial" w:hAnsi="Arial"/>
          <w:b/>
          <w:bCs/>
          <w:sz w:val="22"/>
          <w:szCs w:val="22"/>
        </w:rPr>
        <w:t xml:space="preserve">8.7  Indissociability with the Loan Agreement — FUNDAMENTAL CLAUSE</w:t>
      </w:r>
    </w:p>
    <w:p>
      <w:pPr>
        <w:spacing w:after="100" w:line="280"/>
        <w:jc w:val="both"/>
      </w:pPr>
      <w:r>
        <w:rPr>
          <w:rFonts w:ascii="Arial" w:cs="Arial" w:eastAsia="Arial" w:hAnsi="Arial"/>
          <w:b/>
          <w:bCs/>
          <w:sz w:val="22"/>
          <w:szCs w:val="22"/>
        </w:rPr>
        <w:t xml:space="preserve">This mortgage deed and the Loan Agreement entered into between the Parties form an INDISSOCIABLE and complementary contractual whole. The Parties expressly acknowledge and irrevocably agree that these two documents must be read, interpreted, and performed jointly, as if they constituted one and the same contract. Any clause, condition, representation, warranty, covenant, or obligation set forth in the Loan Agreement applies fully and by operation of law to the Parties to this deed, and any breach of the terms of the Loan Agreement automatically constitutes an Event of Default within the meaning of Article 6 of this deed. Neither Party may invoke the absence of a clause in one of the two documents to escape an obligation set forth in the other. In the event of any divergence or ambiguity between the two documents, the interpretation most favourable to the Lender shall prevail.</w:t>
      </w:r>
    </w:p>
    <w:p>
      <w:pPr>
        <w:keepNext/>
        <w:spacing w:after="120" w:before="240"/>
      </w:pPr>
      <w:r>
        <w:rPr>
          <w:rFonts w:ascii="Arial" w:cs="Arial" w:eastAsia="Arial" w:hAnsi="Arial"/>
          <w:b/>
          <w:bCs/>
          <w:sz w:val="24"/>
          <w:szCs w:val="24"/>
        </w:rPr>
        <w:t xml:space="preserve">SCHEDULES</w:t>
      </w:r>
    </w:p>
    <w:p>
      <w:pPr>
        <w:pStyle w:val="ListParagraph"/>
        <w:numPr>
          <w:ilvl w:val="0"/>
          <w:numId w:val="2"/>
        </w:numPr>
        <w:spacing w:after="60"/>
      </w:pPr>
      <w:r>
        <w:rPr>
          <w:rFonts w:ascii="Arial" w:cs="Arial" w:eastAsia="Arial" w:hAnsi="Arial"/>
          <w:sz w:val="22"/>
          <w:szCs w:val="22"/>
        </w:rPr>
        <w:t xml:space="preserve">Schedule A — Accredited AACI appraisal of the Property</w:t>
      </w:r>
    </w:p>
    <w:p>
      <w:pPr>
        <w:pStyle w:val="ListParagraph"/>
        <w:numPr>
          <w:ilvl w:val="0"/>
          <w:numId w:val="2"/>
        </w:numPr>
        <w:spacing w:after="60"/>
      </w:pPr>
      <w:r>
        <w:rPr>
          <w:rFonts w:ascii="Arial" w:cs="Arial" w:eastAsia="Arial" w:hAnsi="Arial"/>
          <w:sz w:val="22"/>
          <w:szCs w:val="22"/>
        </w:rPr>
        <w:t xml:space="preserve">Schedule B — Discharge from Former Lender</w:t>
      </w:r>
    </w:p>
    <w:p>
      <w:pPr>
        <w:pStyle w:val="ListParagraph"/>
        <w:numPr>
          <w:ilvl w:val="0"/>
          <w:numId w:val="2"/>
        </w:numPr>
        <w:spacing w:after="60"/>
      </w:pPr>
      <w:r>
        <w:rPr>
          <w:rFonts w:ascii="Arial" w:cs="Arial" w:eastAsia="Arial" w:hAnsi="Arial"/>
          <w:sz w:val="22"/>
          <w:szCs w:val="22"/>
        </w:rPr>
        <w:t xml:space="preserve">Schedule C — Phase I environmental assessment (if applicable)</w:t>
      </w:r>
    </w:p>
    <w:p>
      <w:pPr>
        <w:pStyle w:val="ListParagraph"/>
        <w:numPr>
          <w:ilvl w:val="0"/>
          <w:numId w:val="2"/>
        </w:numPr>
        <w:spacing w:after="60"/>
      </w:pPr>
      <w:r>
        <w:rPr>
          <w:rFonts w:ascii="Arial" w:cs="Arial" w:eastAsia="Arial" w:hAnsi="Arial"/>
          <w:sz w:val="22"/>
          <w:szCs w:val="22"/>
        </w:rPr>
        <w:t xml:space="preserve">Schedule D — Financial statements and operating report of the Property</w:t>
      </w:r>
    </w:p>
    <w:p>
      <w:pPr>
        <w:pStyle w:val="ListParagraph"/>
        <w:numPr>
          <w:ilvl w:val="0"/>
          <w:numId w:val="2"/>
        </w:numPr>
        <w:spacing w:after="60"/>
      </w:pPr>
      <w:r>
        <w:rPr>
          <w:rFonts w:ascii="Arial" w:cs="Arial" w:eastAsia="Arial" w:hAnsi="Arial"/>
          <w:sz w:val="22"/>
          <w:szCs w:val="22"/>
        </w:rPr>
        <w:t xml:space="preserve">Schedule E — Exit strategy documentation (bank letter, promise to purchase, etc.)</w:t>
      </w:r>
    </w:p>
    <w:p>
      <w:pPr>
        <w:pStyle w:val="ListParagraph"/>
        <w:numPr>
          <w:ilvl w:val="0"/>
          <w:numId w:val="2"/>
        </w:numPr>
        <w:spacing w:after="60"/>
      </w:pPr>
      <w:r>
        <w:rPr>
          <w:rFonts w:ascii="Arial" w:cs="Arial" w:eastAsia="Arial" w:hAnsi="Arial"/>
          <w:sz w:val="22"/>
          <w:szCs w:val="22"/>
        </w:rPr>
        <w:t xml:space="preserve">Schedule F — Insurance policies</w:t>
      </w:r>
    </w:p>
    <w:p>
      <w:pPr>
        <w:pStyle w:val="ListParagraph"/>
        <w:numPr>
          <w:ilvl w:val="0"/>
          <w:numId w:val="2"/>
        </w:numPr>
        <w:spacing w:after="60"/>
      </w:pPr>
      <w:r>
        <w:rPr>
          <w:rFonts w:ascii="Arial" w:cs="Arial" w:eastAsia="Arial" w:hAnsi="Arial"/>
          <w:sz w:val="22"/>
          <w:szCs w:val="22"/>
        </w:rPr>
        <w:t xml:space="preserve">Schedule G — Supporting documentation for Additional Funds allocation</w:t>
      </w:r>
    </w:p>
    <w:p>
      <w:pPr>
        <w:pStyle w:val="ListParagraph"/>
        <w:numPr>
          <w:ilvl w:val="0"/>
          <w:numId w:val="2"/>
        </w:numPr>
        <w:spacing w:after="60"/>
      </w:pPr>
      <w:r>
        <w:rPr>
          <w:rFonts w:ascii="Arial" w:cs="Arial" w:eastAsia="Arial" w:hAnsi="Arial"/>
          <w:sz w:val="22"/>
          <w:szCs w:val="22"/>
        </w:rPr>
        <w:t xml:space="preserve">Schedule H — Personal suretyship of Guarantors (if applicable)</w:t>
      </w:r>
    </w:p>
    <w:p>
      <w:pPr>
        <w:pStyle w:val="ListParagraph"/>
        <w:numPr>
          <w:ilvl w:val="0"/>
          <w:numId w:val="2"/>
        </w:numPr>
        <w:spacing w:after="60"/>
      </w:pPr>
      <w:r>
        <w:rPr>
          <w:rFonts w:ascii="Arial" w:cs="Arial" w:eastAsia="Arial" w:hAnsi="Arial"/>
          <w:sz w:val="22"/>
          <w:szCs w:val="22"/>
        </w:rPr>
        <w:t xml:space="preserve">Schedule I — Corporate resolution of Capital Norvex Inc. designating the signing representative</w:t>
      </w:r>
    </w:p>
    <w:p>
      <w:pPr>
        <w:pStyle w:val="ListParagraph"/>
        <w:numPr>
          <w:ilvl w:val="0"/>
          <w:numId w:val="2"/>
        </w:numPr>
        <w:spacing w:after="60"/>
      </w:pPr>
      <w:r>
        <w:rPr>
          <w:rFonts w:ascii="Arial" w:cs="Arial" w:eastAsia="Arial" w:hAnsi="Arial"/>
          <w:sz w:val="22"/>
          <w:szCs w:val="22"/>
        </w:rPr>
        <w:t xml:space="preserve">Schedule J — Description of additional collateral and guarantees retained (if applicable)</w:t>
      </w:r>
    </w:p>
    <w:p>
      <w:pPr>
        <w:keepNext/>
        <w:spacing w:after="120" w:before="240"/>
      </w:pPr>
      <w:r>
        <w:rPr>
          <w:rFonts w:ascii="Arial" w:cs="Arial" w:eastAsia="Arial" w:hAnsi="Arial"/>
          <w:b/>
          <w:bCs/>
          <w:sz w:val="24"/>
          <w:szCs w:val="24"/>
        </w:rPr>
        <w:t xml:space="preserve">SIGNATURES AND NOTARIAL CERTIFICATION</w:t>
      </w:r>
    </w:p>
    <w:p>
      <w:pPr>
        <w:spacing w:after="100" w:line="280"/>
        <w:jc w:val="both"/>
      </w:pPr>
      <w:r>
        <w:rPr>
          <w:rFonts w:ascii="Arial" w:cs="Arial" w:eastAsia="Arial" w:hAnsi="Arial"/>
          <w:sz w:val="22"/>
          <w:szCs w:val="22"/>
        </w:rPr>
        <w:t xml:space="preserve">IN WITNESS WHEREOF, the Parties have signed at </w:t>
      </w:r>
      <w:r>
        <w:fldChar w:fldCharType="begin">
          <w:ffData>
            <w:name w:val="Field4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on the </w:t>
      </w:r>
      <w:r>
        <w:fldChar w:fldCharType="begin">
          <w:ffData>
            <w:name w:val="Field4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day of </w:t>
      </w:r>
      <w:r>
        <w:fldChar w:fldCharType="begin">
          <w:ffData>
            <w:name w:val="Field50"/>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w:t>
      </w:r>
      <w:r>
        <w:fldChar w:fldCharType="begin">
          <w:ffData>
            <w:name w:val="Field5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00"/>
      </w:pPr>
      <w:r>
        <w:fldChar w:fldCharType="begin">
          <w:ffData>
            <w:name w:val="Field52"/>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CAPITAL NORVEX INC.</w:t>
      </w:r>
    </w:p>
    <w:p>
      <w:pPr>
        <w:spacing w:after="40"/>
      </w:pPr>
      <w:r>
        <w:rPr>
          <w:rFonts w:ascii="Arial" w:cs="Arial" w:eastAsia="Arial" w:hAnsi="Arial"/>
          <w:sz w:val="22"/>
          <w:szCs w:val="22"/>
        </w:rPr>
        <w:t xml:space="preserve">The Lender</w:t>
      </w:r>
    </w:p>
    <w:p>
      <w:pPr>
        <w:spacing w:after="40"/>
      </w:pPr>
      <w:r>
        <w:rPr>
          <w:rFonts w:ascii="Arial" w:cs="Arial" w:eastAsia="Arial" w:hAnsi="Arial"/>
          <w:sz w:val="22"/>
          <w:szCs w:val="22"/>
        </w:rPr>
        <w:t xml:space="preserve">By: </w:t>
      </w:r>
      <w:r>
        <w:fldChar w:fldCharType="begin">
          <w:ffData>
            <w:name w:val="Field5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(designated representative)</w:t>
      </w:r>
    </w:p>
    <w:p>
      <w:pPr>
        <w:spacing w:after="40"/>
      </w:pPr>
      <w:r>
        <w:rPr>
          <w:rFonts w:ascii="Arial" w:cs="Arial" w:eastAsia="Arial" w:hAnsi="Arial"/>
          <w:sz w:val="22"/>
          <w:szCs w:val="22"/>
        </w:rPr>
        <w:t xml:space="preserve">Title: </w:t>
      </w:r>
      <w:r>
        <w:fldChar w:fldCharType="begin">
          <w:ffData>
            <w:name w:val="Field54"/>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Pursuant to Corporate Resolution dated: </w:t>
      </w:r>
      <w:r>
        <w:fldChar w:fldCharType="begin">
          <w:ffData>
            <w:name w:val="Field55"/>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Signed by: Mrs. Suzanne Breton, sole shareholder and president</w:t>
      </w:r>
    </w:p>
    <w:p>
      <w:pPr>
        <w:spacing w:after="40"/>
      </w:pPr>
      <w:r>
        <w:rPr>
          <w:rFonts w:ascii="Arial" w:cs="Arial" w:eastAsia="Arial" w:hAnsi="Arial"/>
          <w:sz w:val="22"/>
          <w:szCs w:val="22"/>
        </w:rPr>
        <w:t xml:space="preserve">(Schedule I)</w:t>
      </w:r>
    </w:p>
    <w:p>
      <w:pPr>
        <w:spacing w:after="40" w:before="200"/>
      </w:pPr>
      <w:r>
        <w:fldChar w:fldCharType="begin">
          <w:ffData>
            <w:name w:val="Field56"/>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THE BORROWER</w:t>
      </w:r>
    </w:p>
    <w:p>
      <w:pPr>
        <w:spacing w:after="40"/>
      </w:pPr>
      <w:r>
        <w:fldChar w:fldCharType="begin">
          <w:ffData>
            <w:name w:val="Field57"/>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By: </w:t>
      </w:r>
      <w:r>
        <w:fldChar w:fldCharType="begin">
          <w:ffData>
            <w:name w:val="Field58"/>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Title: </w:t>
      </w:r>
      <w:r>
        <w:fldChar w:fldCharType="begin">
          <w:ffData>
            <w:name w:val="Field59"/>
            <w:enabled/>
            <w:calcOnExit w:val="0"/>
            <w:textInput/>
          </w:ffData>
        </w:fldChar>
      </w:r>
      <w:r>
        <w:instrText xml:space="preserve"> FORMTEXT </w:instrText>
      </w:r>
      <w:r>
        <w:fldChar w:fldCharType="separate"/>
      </w:r>
      <w:r>
        <w:t xml:space="preserve">_________________</w:t>
      </w:r>
      <w:r>
        <w:fldChar w:fldCharType="end"/>
      </w:r>
    </w:p>
    <w:p>
      <w:pPr>
        <w:spacing w:after="40" w:before="200"/>
      </w:pPr>
      <w:r>
        <w:fldChar w:fldCharType="begin">
          <w:ffData>
            <w:name w:val="Field60"/>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sz w:val="22"/>
          <w:szCs w:val="22"/>
        </w:rPr>
        <w:t xml:space="preserve">THE GUARANTOR (if applicable)</w:t>
      </w:r>
    </w:p>
    <w:p>
      <w:pPr>
        <w:spacing w:after="40"/>
      </w:pPr>
      <w:r>
        <w:fldChar w:fldCharType="begin">
          <w:ffData>
            <w:name w:val="Field61"/>
            <w:enabled/>
            <w:calcOnExit w:val="0"/>
            <w:textInput/>
          </w:ffData>
        </w:fldChar>
      </w:r>
      <w:r>
        <w:instrText xml:space="preserve"> FORMTEXT </w:instrText>
      </w:r>
      <w:r>
        <w:fldChar w:fldCharType="separate"/>
      </w:r>
      <w:r>
        <w:t xml:space="preserve">_________________</w:t>
      </w:r>
      <w:r>
        <w:fldChar w:fldCharType="end"/>
      </w:r>
    </w:p>
    <w:p>
      <w:pPr>
        <w:keepNext/>
        <w:spacing w:after="120" w:before="240"/>
      </w:pPr>
      <w:r>
        <w:rPr>
          <w:rFonts w:ascii="Arial" w:cs="Arial" w:eastAsia="Arial" w:hAnsi="Arial"/>
          <w:b/>
          <w:bCs/>
          <w:sz w:val="24"/>
          <w:szCs w:val="24"/>
        </w:rPr>
        <w:t xml:space="preserve">CERTIFICATION OF THE INSTRUMENTING NOTARY</w:t>
      </w:r>
    </w:p>
    <w:p>
      <w:pPr>
        <w:spacing w:after="100" w:line="280"/>
        <w:jc w:val="both"/>
      </w:pPr>
      <w:r>
        <w:rPr>
          <w:rFonts w:ascii="Arial" w:cs="Arial" w:eastAsia="Arial" w:hAnsi="Arial"/>
          <w:sz w:val="22"/>
          <w:szCs w:val="22"/>
        </w:rPr>
        <w:t xml:space="preserve">I, THE UNDERSIGNED, </w:t>
      </w:r>
      <w:r>
        <w:fldChar w:fldCharType="begin">
          <w:ffData>
            <w:name w:val="Field62"/>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notary practising in Québec, certify that I have received this deed in minute, verified the identity and capacity of the parties, and read it to them, and that they have approved and signed it in my presence.</w:t>
      </w:r>
    </w:p>
    <w:p>
      <w:pPr>
        <w:spacing w:after="40" w:before="200"/>
      </w:pPr>
      <w:r>
        <w:fldChar w:fldCharType="begin">
          <w:ffData>
            <w:name w:val="Field63"/>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64"/>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Instrumenting Notary</w:t>
      </w:r>
    </w:p>
    <w:p>
      <w:pPr>
        <w:spacing w:after="40"/>
      </w:pPr>
      <w:r>
        <w:rPr>
          <w:rFonts w:ascii="Arial" w:cs="Arial" w:eastAsia="Arial" w:hAnsi="Arial"/>
          <w:sz w:val="22"/>
          <w:szCs w:val="22"/>
        </w:rPr>
        <w:t xml:space="preserve">Notarial file no.: </w:t>
      </w:r>
      <w:r>
        <w:fldChar w:fldCharType="begin">
          <w:ffData>
            <w:name w:val="Field65"/>
            <w:enabled/>
            <w:calcOnExit w:val="0"/>
            <w:textInput/>
          </w:ffData>
        </w:fldChar>
      </w:r>
      <w:r>
        <w:instrText xml:space="preserve"> FORMTEXT </w:instrText>
      </w:r>
      <w:r>
        <w:fldChar w:fldCharType="separate"/>
      </w:r>
      <w:r>
        <w:t xml:space="preserve">_________________</w:t>
      </w:r>
      <w:r>
        <w:fldChar w:fldCharType="end"/>
      </w:r>
    </w:p>
    <w:p>
      <w:pPr>
        <w:spacing w:after="100" w:before="400"/>
      </w:pPr>
    </w:p>
    <w:p>
      <w:pPr>
        <w:spacing w:after="60" w:before="60"/>
        <w:jc w:val="center"/>
      </w:pPr>
      <w:r>
        <w:rPr>
          <w:rFonts w:ascii="Arial" w:cs="Arial" w:eastAsia="Arial" w:hAnsi="Arial"/>
          <w:i/>
          <w:iCs/>
          <w:color w:val="808080"/>
          <w:sz w:val="18"/>
          <w:szCs w:val="18"/>
        </w:rPr>
        <w:t xml:space="preserve">This document is a working template intended for the instrumenting notary. It must be adapted and finalized by an authorized notary before signature and registration. Capital Norvex Inc. disclaims all liability with respect to its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  ·  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REAL ESTATE MORTGAGE DEED — REFINANCING   |   CAPITAL NORVEX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Mortgage Deed — REFINANCING</dc:title>
  <dc:creator>Capital Norvex Inc.</dc:creator>
  <dc:description>Legal template for instrumenting notary</dc:description>
  <cp:lastModifiedBy>Un-named</cp:lastModifiedBy>
  <cp:revision>1</cp:revision>
  <dcterms:created xsi:type="dcterms:W3CDTF">2026-05-03T16:14:14.607Z</dcterms:created>
  <dcterms:modified xsi:type="dcterms:W3CDTF">2026-05-03T16:14:14.607Z</dcterms:modified>
</cp:coreProperties>
</file>

<file path=docProps/custom.xml><?xml version="1.0" encoding="utf-8"?>
<Properties xmlns="http://schemas.openxmlformats.org/officeDocument/2006/custom-properties" xmlns:vt="http://schemas.openxmlformats.org/officeDocument/2006/docPropsVTypes"/>
</file>