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sz w:val="28"/>
          <w:szCs w:val="28"/>
        </w:rPr>
        <w:t xml:space="preserve">PROVINCE DE QUÉBEC</w:t>
      </w:r>
    </w:p>
    <w:p>
      <w:pPr>
        <w:spacing w:after="100" w:line="280"/>
        <w:jc w:val="center"/>
      </w:pPr>
      <w:r>
        <w:rPr>
          <w:rFonts w:ascii="Arial" w:cs="Arial" w:eastAsia="Arial" w:hAnsi="Arial"/>
          <w:sz w:val="22"/>
          <w:szCs w:val="22"/>
        </w:rPr>
        <w:t xml:space="preserve">DISTRICT JUDICIAIRE DE _________________</w:t>
      </w:r>
    </w:p>
    <w:p>
      <w:pPr>
        <w:spacing w:after="200"/>
      </w:pPr>
    </w:p>
    <w:p>
      <w:pPr>
        <w:spacing w:after="60" w:before="120"/>
        <w:jc w:val="center"/>
      </w:pPr>
      <w:r>
        <w:rPr>
          <w:rFonts w:ascii="Arial" w:cs="Arial" w:eastAsia="Arial" w:hAnsi="Arial"/>
          <w:b/>
          <w:bCs/>
          <w:sz w:val="28"/>
          <w:szCs w:val="28"/>
        </w:rPr>
        <w:t xml:space="preserve">ACTE D'HYPOTHÈQUE IMMOBILIÈRE</w:t>
      </w:r>
    </w:p>
    <w:p>
      <w:pPr>
        <w:spacing w:after="60" w:before="60"/>
        <w:jc w:val="center"/>
      </w:pPr>
      <w:r>
        <w:rPr>
          <w:rFonts w:ascii="Arial" w:cs="Arial" w:eastAsia="Arial" w:hAnsi="Arial"/>
          <w:b/>
          <w:bCs/>
          <w:sz w:val="24"/>
          <w:szCs w:val="24"/>
        </w:rPr>
        <w:t xml:space="preserve">REFINANCEMENT</w:t>
      </w:r>
    </w:p>
    <w:p>
      <w:pPr>
        <w:spacing w:after="100" w:line="280"/>
        <w:jc w:val="center"/>
      </w:pPr>
      <w:r>
        <w:rPr>
          <w:rFonts w:ascii="Arial" w:cs="Arial" w:eastAsia="Arial" w:hAnsi="Arial"/>
          <w:i/>
          <w:iCs/>
          <w:sz w:val="22"/>
          <w:szCs w:val="22"/>
        </w:rPr>
        <w:t xml:space="preserve">(Code civil du Québec, art. 2660 et s.)</w:t>
      </w:r>
    </w:p>
    <w:p>
      <w:pPr>
        <w:spacing w:after="200"/>
      </w:pPr>
    </w:p>
    <w:p>
      <w:pPr>
        <w:keepNext/>
        <w:spacing w:after="120" w:before="240"/>
      </w:pPr>
      <w:r>
        <w:rPr>
          <w:rFonts w:ascii="Arial" w:cs="Arial" w:eastAsia="Arial" w:hAnsi="Arial"/>
          <w:b/>
          <w:bCs/>
          <w:sz w:val="24"/>
          <w:szCs w:val="24"/>
        </w:rPr>
        <w:t xml:space="preserve">IDENTIFICATION DES PARTIES</w:t>
      </w:r>
    </w:p>
    <w:p>
      <w:pPr>
        <w:keepNext/>
        <w:spacing w:after="60" w:before="180"/>
      </w:pPr>
      <w:r>
        <w:rPr>
          <w:rFonts w:ascii="Arial" w:cs="Arial" w:eastAsia="Arial" w:hAnsi="Arial"/>
          <w:b/>
          <w:bCs/>
          <w:sz w:val="22"/>
          <w:szCs w:val="22"/>
        </w:rPr>
        <w:t xml:space="preserve">CRÉANCIER HYPOTHÉCAIRE :</w:t>
      </w:r>
    </w:p>
    <w:p>
      <w:pPr>
        <w:spacing w:after="100" w:line="280"/>
        <w:jc w:val="both"/>
      </w:pPr>
      <w:r>
        <w:rPr>
          <w:rFonts w:ascii="Arial" w:cs="Arial" w:eastAsia="Arial" w:hAnsi="Arial"/>
          <w:sz w:val="22"/>
          <w:szCs w:val="22"/>
        </w:rPr>
        <w:t xml:space="preserve">CAPITAL NORVEX INC., personne morale légalement constituée en vertu des lois du Québec, ayant son siège social au 2705-1000, rue André-Prévost, Verdun, Montréal (Québec) H3E 0G2, ci-après « Capital Norvex » ou le « Prêteur »;</w:t>
      </w:r>
    </w:p>
    <w:p>
      <w:pPr>
        <w:spacing w:after="100" w:line="280"/>
        <w:jc w:val="both"/>
      </w:pPr>
      <w:r>
        <w:rPr>
          <w:rFonts w:ascii="Arial" w:cs="Arial" w:eastAsia="Arial" w:hAnsi="Arial"/>
          <w:sz w:val="22"/>
          <w:szCs w:val="22"/>
        </w:rPr>
        <w:t xml:space="preserve">Représentée aux fins des présentes par :</w:t>
      </w:r>
    </w:p>
    <w:p>
      <w:pPr>
        <w:spacing w:after="100" w:line="280"/>
        <w:jc w:val="both"/>
      </w:pPr>
      <w:r>
        <w:rPr>
          <w:rFonts w:ascii="Arial" w:cs="Arial" w:eastAsia="Arial" w:hAnsi="Arial"/>
          <w:sz w:val="22"/>
          <w:szCs w:val="22"/>
        </w:rPr>
        <w:t xml:space="preserve">Nom du mandataire désigné : ________________________________________________</w:t>
      </w:r>
    </w:p>
    <w:p>
      <w:pPr>
        <w:spacing w:after="100" w:line="280"/>
        <w:jc w:val="both"/>
      </w:pPr>
      <w:r>
        <w:rPr>
          <w:rFonts w:ascii="Arial" w:cs="Arial" w:eastAsia="Arial" w:hAnsi="Arial"/>
          <w:sz w:val="22"/>
          <w:szCs w:val="22"/>
        </w:rPr>
        <w:t xml:space="preserve">Titre / Qualité : _________________</w:t>
      </w:r>
    </w:p>
    <w:p>
      <w:pPr>
        <w:spacing w:after="100" w:line="280"/>
        <w:jc w:val="both"/>
      </w:pPr>
      <w:r>
        <w:rPr>
          <w:rFonts w:ascii="Arial" w:cs="Arial" w:eastAsia="Arial" w:hAnsi="Arial"/>
          <w:sz w:val="22"/>
          <w:szCs w:val="22"/>
        </w:rPr>
        <w:t xml:space="preserve">Dûment autorisé(e) à signer pour et au nom de Capital Norvex Inc. en vertu d'une résolution corporative adoptée par l'actionnaire unique et présidente, Madame Suzanne Breton, en date du _________________ (la « Résolution »), dont copie certifiée conforme est annexée aux présentes à l'Annexe I.</w:t>
      </w:r>
    </w:p>
    <w:p>
      <w:pPr>
        <w:keepNext/>
        <w:spacing w:after="60" w:before="180"/>
      </w:pPr>
      <w:r>
        <w:rPr>
          <w:rFonts w:ascii="Arial" w:cs="Arial" w:eastAsia="Arial" w:hAnsi="Arial"/>
          <w:b/>
          <w:bCs/>
          <w:sz w:val="22"/>
          <w:szCs w:val="22"/>
        </w:rPr>
        <w:t xml:space="preserve">DÉBITEUR HYPOTHÉCAIRE :</w:t>
      </w:r>
    </w:p>
    <w:p>
      <w:pPr>
        <w:spacing w:after="100" w:line="280"/>
        <w:jc w:val="both"/>
      </w:pPr>
      <w:r>
        <w:rPr>
          <w:rFonts w:ascii="Arial" w:cs="Arial" w:eastAsia="Arial" w:hAnsi="Arial"/>
          <w:sz w:val="22"/>
          <w:szCs w:val="22"/>
        </w:rPr>
        <w:t xml:space="preserve">________________________________________________, personne morale immatriculée au Registre des entreprises sous le numéro _________________, siège social au ________________________________________________, représentée par _________________, à titre de _________________; ci-après « l'Emprunteur »;</w:t>
      </w:r>
    </w:p>
    <w:p>
      <w:pPr>
        <w:keepNext/>
        <w:spacing w:after="60" w:before="180"/>
      </w:pPr>
      <w:r>
        <w:rPr>
          <w:rFonts w:ascii="Arial" w:cs="Arial" w:eastAsia="Arial" w:hAnsi="Arial"/>
          <w:b/>
          <w:bCs/>
          <w:sz w:val="22"/>
          <w:szCs w:val="22"/>
        </w:rPr>
        <w:t xml:space="preserve">GARANT(S) (s'il y a lieu) :</w:t>
      </w:r>
    </w:p>
    <w:p>
      <w:pPr>
        <w:spacing w:after="100" w:line="280"/>
        <w:jc w:val="both"/>
      </w:pPr>
      <w:r>
        <w:rPr>
          <w:rFonts w:ascii="Arial" w:cs="Arial" w:eastAsia="Arial" w:hAnsi="Arial"/>
          <w:sz w:val="22"/>
          <w:szCs w:val="22"/>
        </w:rPr>
        <w:t xml:space="preserve">________________________________________________; ci-après « le Garant ».</w:t>
      </w:r>
    </w:p>
    <w:p>
      <w:pPr>
        <w:keepNext/>
        <w:spacing w:after="120" w:before="240"/>
      </w:pPr>
      <w:r>
        <w:rPr>
          <w:rFonts w:ascii="Arial" w:cs="Arial" w:eastAsia="Arial" w:hAnsi="Arial"/>
          <w:b/>
          <w:bCs/>
          <w:sz w:val="24"/>
          <w:szCs w:val="24"/>
        </w:rPr>
        <w:t xml:space="preserve">EXPOSÉ PRÉLIMINAIRE</w:t>
      </w:r>
    </w:p>
    <w:p>
      <w:pPr>
        <w:spacing w:after="100" w:line="280"/>
        <w:jc w:val="both"/>
      </w:pPr>
      <w:r>
        <w:rPr>
          <w:rFonts w:ascii="Arial" w:cs="Arial" w:eastAsia="Arial" w:hAnsi="Arial"/>
          <w:sz w:val="22"/>
          <w:szCs w:val="22"/>
        </w:rPr>
        <w:t xml:space="preserve">ATTENDU QUE l'Emprunteur est propriétaire de l'immeuble décrit ci-après (l'« Immeuble »);</w:t>
      </w:r>
    </w:p>
    <w:p>
      <w:pPr>
        <w:spacing w:after="100" w:line="280"/>
        <w:jc w:val="both"/>
      </w:pPr>
      <w:r>
        <w:rPr>
          <w:rFonts w:ascii="Arial" w:cs="Arial" w:eastAsia="Arial" w:hAnsi="Arial"/>
          <w:sz w:val="22"/>
          <w:szCs w:val="22"/>
        </w:rPr>
        <w:t xml:space="preserve">ATTENDU QUE l'Immeuble est actuellement grevé d'une hypothèque consentie en faveur de ________________________________________________ (l'« Ancien Prêteur »), laquelle hypothèque doit être radiée à l'aide d'une partie des fonds du présent Prêt;</w:t>
      </w:r>
    </w:p>
    <w:p>
      <w:pPr>
        <w:spacing w:after="100" w:line="280"/>
        <w:jc w:val="both"/>
      </w:pPr>
      <w:r>
        <w:rPr>
          <w:rFonts w:ascii="Arial" w:cs="Arial" w:eastAsia="Arial" w:hAnsi="Arial"/>
          <w:sz w:val="22"/>
          <w:szCs w:val="22"/>
        </w:rPr>
        <w:t xml:space="preserve">ATTENDU QUE l'Emprunteur désire refinancer ladite dette et obtenir, au besoin, des liquidités supplémentaires destinées à un usage spécifique documenté;</w:t>
      </w:r>
    </w:p>
    <w:p>
      <w:pPr>
        <w:spacing w:after="100" w:line="280"/>
        <w:jc w:val="both"/>
      </w:pPr>
      <w:r>
        <w:rPr>
          <w:rFonts w:ascii="Arial" w:cs="Arial" w:eastAsia="Arial" w:hAnsi="Arial"/>
          <w:sz w:val="22"/>
          <w:szCs w:val="22"/>
        </w:rPr>
        <w:t xml:space="preserve">ATTENDU QUE l'Emprunteur déclare et garantit disposer d'une stratégie de sortie claire et documentée pour le remboursement complet du présent Prêt à l'échéance;</w:t>
      </w:r>
    </w:p>
    <w:p>
      <w:pPr>
        <w:spacing w:after="100" w:line="280"/>
        <w:jc w:val="both"/>
      </w:pPr>
      <w:r>
        <w:rPr>
          <w:rFonts w:ascii="Arial" w:cs="Arial" w:eastAsia="Arial" w:hAnsi="Arial"/>
          <w:sz w:val="22"/>
          <w:szCs w:val="22"/>
        </w:rPr>
        <w:t xml:space="preserve">ATTENDU QUE le Prêteur consent à accorder ledit prêt sous les termes ci-après, sous réserve notamment de la production d'une preuve de stratégie de sortie satisfaisante;</w:t>
      </w:r>
    </w:p>
    <w:p>
      <w:pPr>
        <w:spacing w:after="100" w:line="280"/>
        <w:jc w:val="both"/>
      </w:pPr>
      <w:r>
        <w:rPr>
          <w:rFonts w:ascii="Arial" w:cs="Arial" w:eastAsia="Arial" w:hAnsi="Arial"/>
          <w:sz w:val="22"/>
          <w:szCs w:val="22"/>
        </w:rPr>
        <w:t xml:space="preserve">EN CONSIDÉRATION de ces prémisses, les Parties conviennent :</w:t>
      </w:r>
    </w:p>
    <w:p>
      <w:pPr>
        <w:keepNext/>
        <w:spacing w:after="120" w:before="240"/>
      </w:pPr>
      <w:r>
        <w:rPr>
          <w:rFonts w:ascii="Arial" w:cs="Arial" w:eastAsia="Arial" w:hAnsi="Arial"/>
          <w:b/>
          <w:bCs/>
          <w:sz w:val="24"/>
          <w:szCs w:val="24"/>
        </w:rPr>
        <w:t xml:space="preserve">ARTICLE 1 — PRÊT HYPOTHÉCAIRE DE REFINANCEMENT</w:t>
      </w:r>
    </w:p>
    <w:p>
      <w:pPr>
        <w:keepNext/>
        <w:spacing w:after="60" w:before="180"/>
      </w:pPr>
      <w:r>
        <w:rPr>
          <w:rFonts w:ascii="Arial" w:cs="Arial" w:eastAsia="Arial" w:hAnsi="Arial"/>
          <w:b/>
          <w:bCs/>
          <w:sz w:val="22"/>
          <w:szCs w:val="22"/>
        </w:rPr>
        <w:t xml:space="preserve">1.1  Montant du Prêt</w:t>
      </w:r>
    </w:p>
    <w:p>
      <w:pPr>
        <w:spacing w:after="100" w:line="280"/>
        <w:jc w:val="both"/>
      </w:pPr>
      <w:r>
        <w:rPr>
          <w:rFonts w:ascii="Arial" w:cs="Arial" w:eastAsia="Arial" w:hAnsi="Arial"/>
          <w:sz w:val="22"/>
          <w:szCs w:val="22"/>
        </w:rPr>
        <w:t xml:space="preserve">Le Prêteur consent à l'Emprunteur un prêt de refinancement d'un montant de (_________________) dollars canadiens (_________________ $), ci-après le « Prêt ».</w:t>
      </w:r>
    </w:p>
    <w:p>
      <w:pPr>
        <w:keepNext/>
        <w:spacing w:after="60" w:before="180"/>
      </w:pPr>
      <w:r>
        <w:rPr>
          <w:rFonts w:ascii="Arial" w:cs="Arial" w:eastAsia="Arial" w:hAnsi="Arial"/>
          <w:b/>
          <w:bCs/>
          <w:sz w:val="22"/>
          <w:szCs w:val="22"/>
        </w:rPr>
        <w:t xml:space="preserve">1.2  Affectation des fonds</w:t>
      </w:r>
    </w:p>
    <w:p>
      <w:pPr>
        <w:spacing w:after="100" w:line="280"/>
        <w:jc w:val="both"/>
      </w:pPr>
      <w:r>
        <w:rPr>
          <w:rFonts w:ascii="Arial" w:cs="Arial" w:eastAsia="Arial" w:hAnsi="Arial"/>
          <w:sz w:val="22"/>
          <w:szCs w:val="22"/>
        </w:rPr>
        <w:t xml:space="preserve">Les fonds du Prêt sont affectés exclusivement à l'usage suivant :</w:t>
      </w:r>
    </w:p>
    <w:p>
      <w:pPr>
        <w:pStyle w:val="ListParagraph"/>
        <w:numPr>
          <w:ilvl w:val="0"/>
          <w:numId w:val="2"/>
        </w:numPr>
        <w:spacing w:after="60"/>
      </w:pPr>
      <w:r>
        <w:rPr>
          <w:rFonts w:ascii="Arial" w:cs="Arial" w:eastAsia="Arial" w:hAnsi="Arial"/>
          <w:sz w:val="22"/>
          <w:szCs w:val="22"/>
        </w:rPr>
        <w:t xml:space="preserve">Remboursement intégral de l'hypothèque existante en faveur de l'Ancien Prêteur : _________________ $;</w:t>
      </w:r>
    </w:p>
    <w:p>
      <w:pPr>
        <w:pStyle w:val="ListParagraph"/>
        <w:numPr>
          <w:ilvl w:val="0"/>
          <w:numId w:val="2"/>
        </w:numPr>
        <w:spacing w:after="60"/>
      </w:pPr>
      <w:r>
        <w:rPr>
          <w:rFonts w:ascii="Arial" w:cs="Arial" w:eastAsia="Arial" w:hAnsi="Arial"/>
          <w:sz w:val="22"/>
          <w:szCs w:val="22"/>
        </w:rPr>
        <w:t xml:space="preserve">Frais de dossier, frais notariaux, taxes et frais de publication : _________________ $;</w:t>
      </w:r>
    </w:p>
    <w:p>
      <w:pPr>
        <w:pStyle w:val="ListParagraph"/>
        <w:numPr>
          <w:ilvl w:val="0"/>
          <w:numId w:val="2"/>
        </w:numPr>
        <w:spacing w:after="60"/>
      </w:pPr>
      <w:r>
        <w:rPr>
          <w:rFonts w:ascii="Arial" w:cs="Arial" w:eastAsia="Arial" w:hAnsi="Arial"/>
          <w:sz w:val="22"/>
          <w:szCs w:val="22"/>
        </w:rPr>
        <w:t xml:space="preserve">Liquidités additionnelles affectées à : ________________________________________________ (préciser : amélioration locative, capital de roulement, acquisition autre actif, etc.) — montant : _________________ $.</w:t>
      </w:r>
    </w:p>
    <w:p>
      <w:pPr>
        <w:spacing w:after="100" w:line="280"/>
        <w:jc w:val="both"/>
      </w:pPr>
      <w:r>
        <w:rPr>
          <w:rFonts w:ascii="Arial" w:cs="Arial" w:eastAsia="Arial" w:hAnsi="Arial"/>
          <w:b/>
          <w:bCs/>
          <w:sz w:val="22"/>
          <w:szCs w:val="22"/>
        </w:rPr>
        <w:t xml:space="preserve">AUCUN cash-out pur sans plan de remboursement documenté n'est autorisé. Toute affectation des fonds doit faire l'objet d'une justification écrite acceptable au Prêteur.</w:t>
      </w:r>
    </w:p>
    <w:p>
      <w:pPr>
        <w:keepNext/>
        <w:spacing w:after="60" w:before="180"/>
      </w:pPr>
      <w:r>
        <w:rPr>
          <w:rFonts w:ascii="Arial" w:cs="Arial" w:eastAsia="Arial" w:hAnsi="Arial"/>
          <w:b/>
          <w:bCs/>
          <w:sz w:val="22"/>
          <w:szCs w:val="22"/>
        </w:rPr>
        <w:t xml:space="preserve">1.3  Déboursement</w:t>
      </w:r>
    </w:p>
    <w:p>
      <w:pPr>
        <w:spacing w:after="100" w:line="280"/>
        <w:jc w:val="both"/>
      </w:pPr>
      <w:r>
        <w:rPr>
          <w:rFonts w:ascii="Arial" w:cs="Arial" w:eastAsia="Arial" w:hAnsi="Arial"/>
          <w:sz w:val="22"/>
          <w:szCs w:val="22"/>
        </w:rPr>
        <w:t xml:space="preserve">Le Prêt sera déboursé en une seule tranche, à la date de signature et de publication du présent acte, directement entre les mains du notaire instrumentant qui procédera :</w:t>
      </w:r>
    </w:p>
    <w:p>
      <w:pPr>
        <w:pStyle w:val="ListParagraph"/>
        <w:numPr>
          <w:ilvl w:val="0"/>
          <w:numId w:val="2"/>
        </w:numPr>
        <w:spacing w:after="60"/>
      </w:pPr>
      <w:r>
        <w:rPr>
          <w:rFonts w:ascii="Arial" w:cs="Arial" w:eastAsia="Arial" w:hAnsi="Arial"/>
          <w:sz w:val="22"/>
          <w:szCs w:val="22"/>
        </w:rPr>
        <w:t xml:space="preserve">au remboursement de l'Ancien Prêteur contre quittance et mainlevée d'hypothèque dûment publiée;</w:t>
      </w:r>
    </w:p>
    <w:p>
      <w:pPr>
        <w:pStyle w:val="ListParagraph"/>
        <w:numPr>
          <w:ilvl w:val="0"/>
          <w:numId w:val="2"/>
        </w:numPr>
        <w:spacing w:after="60"/>
      </w:pPr>
      <w:r>
        <w:rPr>
          <w:rFonts w:ascii="Arial" w:cs="Arial" w:eastAsia="Arial" w:hAnsi="Arial"/>
          <w:sz w:val="22"/>
          <w:szCs w:val="22"/>
        </w:rPr>
        <w:t xml:space="preserve">au paiement des frais notariaux, taxes et frais de publication;</w:t>
      </w:r>
    </w:p>
    <w:p>
      <w:pPr>
        <w:pStyle w:val="ListParagraph"/>
        <w:numPr>
          <w:ilvl w:val="0"/>
          <w:numId w:val="2"/>
        </w:numPr>
        <w:spacing w:after="60"/>
      </w:pPr>
      <w:r>
        <w:rPr>
          <w:rFonts w:ascii="Arial" w:cs="Arial" w:eastAsia="Arial" w:hAnsi="Arial"/>
          <w:sz w:val="22"/>
          <w:szCs w:val="22"/>
        </w:rPr>
        <w:t xml:space="preserve">au versement du solde à l'Emprunteur, sur preuve d'affectation conforme.</w:t>
      </w:r>
    </w:p>
    <w:p>
      <w:pPr>
        <w:keepNext/>
        <w:spacing w:after="60" w:before="180"/>
      </w:pPr>
      <w:r>
        <w:rPr>
          <w:rFonts w:ascii="Arial" w:cs="Arial" w:eastAsia="Arial" w:hAnsi="Arial"/>
          <w:b/>
          <w:bCs/>
          <w:sz w:val="22"/>
          <w:szCs w:val="22"/>
        </w:rPr>
        <w:t xml:space="preserve">1.4  Conditions préalables au déboursement</w:t>
      </w:r>
    </w:p>
    <w:p>
      <w:pPr>
        <w:spacing w:after="100" w:line="280"/>
        <w:jc w:val="both"/>
      </w:pPr>
      <w:r>
        <w:rPr>
          <w:rFonts w:ascii="Arial" w:cs="Arial" w:eastAsia="Arial" w:hAnsi="Arial"/>
          <w:sz w:val="22"/>
          <w:szCs w:val="22"/>
        </w:rPr>
        <w:t xml:space="preserve">Le déboursement du Prêt est conditionnel à :</w:t>
      </w:r>
    </w:p>
    <w:p>
      <w:pPr>
        <w:pStyle w:val="ListParagraph"/>
        <w:numPr>
          <w:ilvl w:val="0"/>
          <w:numId w:val="2"/>
        </w:numPr>
        <w:spacing w:after="60"/>
      </w:pPr>
      <w:r>
        <w:rPr>
          <w:rFonts w:ascii="Arial" w:cs="Arial" w:eastAsia="Arial" w:hAnsi="Arial"/>
          <w:sz w:val="22"/>
          <w:szCs w:val="22"/>
        </w:rPr>
        <w:t xml:space="preserve">Confirmation du premier rang hypothécaire par le notaire instrumentant après radiation de l'hypothèque de l'Ancien Prêteur;</w:t>
      </w:r>
    </w:p>
    <w:p>
      <w:pPr>
        <w:pStyle w:val="ListParagraph"/>
        <w:numPr>
          <w:ilvl w:val="0"/>
          <w:numId w:val="2"/>
        </w:numPr>
        <w:spacing w:after="60"/>
      </w:pPr>
      <w:r>
        <w:rPr>
          <w:rFonts w:ascii="Arial" w:cs="Arial" w:eastAsia="Arial" w:hAnsi="Arial"/>
          <w:sz w:val="22"/>
          <w:szCs w:val="22"/>
        </w:rPr>
        <w:t xml:space="preserve">Lettre de quittance / décharge de l'Ancien Prêteur indiquant le solde exact à rembourser;</w:t>
      </w:r>
    </w:p>
    <w:p>
      <w:pPr>
        <w:pStyle w:val="ListParagraph"/>
        <w:numPr>
          <w:ilvl w:val="0"/>
          <w:numId w:val="2"/>
        </w:numPr>
        <w:spacing w:after="60"/>
      </w:pPr>
      <w:r>
        <w:rPr>
          <w:rFonts w:ascii="Arial" w:cs="Arial" w:eastAsia="Arial" w:hAnsi="Arial"/>
          <w:sz w:val="22"/>
          <w:szCs w:val="22"/>
        </w:rPr>
        <w:t xml:space="preserve">Évaluation agréée (AACI) de l'Immeuble, datée de moins de six (6) mois;</w:t>
      </w:r>
    </w:p>
    <w:p>
      <w:pPr>
        <w:pStyle w:val="ListParagraph"/>
        <w:numPr>
          <w:ilvl w:val="0"/>
          <w:numId w:val="2"/>
        </w:numPr>
        <w:spacing w:after="60"/>
      </w:pPr>
      <w:r>
        <w:rPr>
          <w:rFonts w:ascii="Arial" w:cs="Arial" w:eastAsia="Arial" w:hAnsi="Arial"/>
          <w:sz w:val="22"/>
          <w:szCs w:val="22"/>
        </w:rPr>
        <w:t xml:space="preserve">Stratégie de sortie documentée (voir article 3.4) acceptable au Prêteur;</w:t>
      </w:r>
    </w:p>
    <w:p>
      <w:pPr>
        <w:pStyle w:val="ListParagraph"/>
        <w:numPr>
          <w:ilvl w:val="0"/>
          <w:numId w:val="2"/>
        </w:numPr>
        <w:spacing w:after="60"/>
      </w:pPr>
      <w:r>
        <w:rPr>
          <w:rFonts w:ascii="Arial" w:cs="Arial" w:eastAsia="Arial" w:hAnsi="Arial"/>
          <w:sz w:val="22"/>
          <w:szCs w:val="22"/>
        </w:rPr>
        <w:t xml:space="preserve">Étude environnementale Phase I (le cas échéant) acceptable au Prêteur;</w:t>
      </w:r>
    </w:p>
    <w:p>
      <w:pPr>
        <w:pStyle w:val="ListParagraph"/>
        <w:numPr>
          <w:ilvl w:val="0"/>
          <w:numId w:val="2"/>
        </w:numPr>
        <w:spacing w:after="60"/>
      </w:pPr>
      <w:r>
        <w:rPr>
          <w:rFonts w:ascii="Arial" w:cs="Arial" w:eastAsia="Arial" w:hAnsi="Arial"/>
          <w:sz w:val="22"/>
          <w:szCs w:val="22"/>
        </w:rPr>
        <w:t xml:space="preserve">Polices d'assurance avec Capital Norvex désigné comme bénéficiaire / assuré additionnel;</w:t>
      </w:r>
    </w:p>
    <w:p>
      <w:pPr>
        <w:pStyle w:val="ListParagraph"/>
        <w:numPr>
          <w:ilvl w:val="0"/>
          <w:numId w:val="2"/>
        </w:numPr>
        <w:spacing w:after="60"/>
      </w:pPr>
      <w:r>
        <w:rPr>
          <w:rFonts w:ascii="Arial" w:cs="Arial" w:eastAsia="Arial" w:hAnsi="Arial"/>
          <w:sz w:val="22"/>
          <w:szCs w:val="22"/>
        </w:rPr>
        <w:t xml:space="preserve">Signature du présent acte et de tout document accessoire requis par le Prêteur.</w:t>
      </w:r>
    </w:p>
    <w:p>
      <w:pPr>
        <w:keepNext/>
        <w:spacing w:after="60" w:before="180"/>
      </w:pPr>
      <w:r>
        <w:rPr>
          <w:rFonts w:ascii="Arial" w:cs="Arial" w:eastAsia="Arial" w:hAnsi="Arial"/>
          <w:b/>
          <w:bCs/>
          <w:sz w:val="22"/>
          <w:szCs w:val="22"/>
        </w:rPr>
        <w:t xml:space="preserve">1.5  Ratios de qualification (critères de base — flexibilité au cas par cas)</w:t>
      </w:r>
    </w:p>
    <w:p>
      <w:pPr>
        <w:spacing w:after="100" w:line="280"/>
        <w:jc w:val="both"/>
      </w:pPr>
      <w:r>
        <w:rPr>
          <w:rFonts w:ascii="Arial" w:cs="Arial" w:eastAsia="Arial" w:hAnsi="Arial"/>
          <w:sz w:val="22"/>
          <w:szCs w:val="22"/>
        </w:rPr>
        <w:t xml:space="preserve">À titre de critères de base, le Prêt vise à respecter les ratios suivants :</w:t>
      </w:r>
    </w:p>
    <w:p>
      <w:pPr>
        <w:pStyle w:val="ListParagraph"/>
        <w:numPr>
          <w:ilvl w:val="0"/>
          <w:numId w:val="2"/>
        </w:numPr>
        <w:spacing w:after="60"/>
      </w:pPr>
      <w:r>
        <w:rPr>
          <w:rFonts w:ascii="Arial" w:cs="Arial" w:eastAsia="Arial" w:hAnsi="Arial"/>
          <w:sz w:val="22"/>
          <w:szCs w:val="22"/>
        </w:rPr>
        <w:t xml:space="preserve">Ratio prêt-valeur (LTV) cible de soixante-dix pour cent (70 %) de la valeur marchande de l'Immeuble établie par évaluation agréée (AACI), soit _________________ $;</w:t>
      </w:r>
    </w:p>
    <w:p>
      <w:pPr>
        <w:pStyle w:val="ListParagraph"/>
        <w:numPr>
          <w:ilvl w:val="0"/>
          <w:numId w:val="2"/>
        </w:numPr>
        <w:spacing w:after="60"/>
      </w:pPr>
      <w:r>
        <w:rPr>
          <w:rFonts w:ascii="Arial" w:cs="Arial" w:eastAsia="Arial" w:hAnsi="Arial"/>
          <w:sz w:val="22"/>
          <w:szCs w:val="22"/>
        </w:rPr>
        <w:t xml:space="preserve">Ratio de couverture de la dette (DCR) cible de un virgule vingt (1,20x) calculé sur les revenus nets stabilisés de l'Immeuble;</w:t>
      </w:r>
    </w:p>
    <w:p>
      <w:pPr>
        <w:pStyle w:val="ListParagraph"/>
        <w:numPr>
          <w:ilvl w:val="0"/>
          <w:numId w:val="2"/>
        </w:numPr>
        <w:spacing w:after="60"/>
      </w:pPr>
      <w:r>
        <w:rPr>
          <w:rFonts w:ascii="Arial" w:cs="Arial" w:eastAsia="Arial" w:hAnsi="Arial"/>
          <w:sz w:val="22"/>
          <w:szCs w:val="22"/>
        </w:rPr>
        <w:t xml:space="preserve">Équité cash de l'Emprunteur cible d'au moins trente pour cent (30 %) de la valeur de l'Immeuble.</w:t>
      </w:r>
    </w:p>
    <w:p>
      <w:pPr>
        <w:spacing w:after="100" w:line="280"/>
        <w:jc w:val="both"/>
      </w:pPr>
      <w:r>
        <w:rPr>
          <w:rFonts w:ascii="Arial" w:cs="Arial" w:eastAsia="Arial" w:hAnsi="Arial"/>
          <w:b/>
          <w:bCs/>
          <w:sz w:val="22"/>
          <w:szCs w:val="22"/>
        </w:rPr>
        <w:t xml:space="preserve">FLEXIBILITÉ ADAPTÉE AU DOSSIER : Les ratios ci-dessus constituent des critères de base et peuvent être ajustés au cas par cas, jusqu'à un LTV maximal de quatre-vingt-quinze pour cent (95 %), si l'Emprunteur fournit des garanties supplémentaires acceptables au Prêteur, telles que :</w:t>
      </w:r>
    </w:p>
    <w:p>
      <w:pPr>
        <w:pStyle w:val="ListParagraph"/>
        <w:numPr>
          <w:ilvl w:val="0"/>
          <w:numId w:val="2"/>
        </w:numPr>
        <w:spacing w:after="60"/>
      </w:pPr>
      <w:r>
        <w:rPr>
          <w:rFonts w:ascii="Arial" w:cs="Arial" w:eastAsia="Arial" w:hAnsi="Arial"/>
          <w:sz w:val="22"/>
          <w:szCs w:val="22"/>
        </w:rPr>
        <w:t xml:space="preserve">Hypothèque additionnelle sur un autre immeuble libre de dettes;</w:t>
      </w:r>
    </w:p>
    <w:p>
      <w:pPr>
        <w:pStyle w:val="ListParagraph"/>
        <w:numPr>
          <w:ilvl w:val="0"/>
          <w:numId w:val="2"/>
        </w:numPr>
        <w:spacing w:after="60"/>
      </w:pPr>
      <w:r>
        <w:rPr>
          <w:rFonts w:ascii="Arial" w:cs="Arial" w:eastAsia="Arial" w:hAnsi="Arial"/>
          <w:sz w:val="22"/>
          <w:szCs w:val="22"/>
        </w:rPr>
        <w:t xml:space="preserve">Hypothèque de deuxième rang sur un autre immeuble appartenant à l'Emprunteur ou aux Garants;</w:t>
      </w:r>
    </w:p>
    <w:p>
      <w:pPr>
        <w:pStyle w:val="ListParagraph"/>
        <w:numPr>
          <w:ilvl w:val="0"/>
          <w:numId w:val="2"/>
        </w:numPr>
        <w:spacing w:after="60"/>
      </w:pPr>
      <w:r>
        <w:rPr>
          <w:rFonts w:ascii="Arial" w:cs="Arial" w:eastAsia="Arial" w:hAnsi="Arial"/>
          <w:sz w:val="22"/>
          <w:szCs w:val="22"/>
        </w:rPr>
        <w:t xml:space="preserve">Caution personnelle solide de personne(s) à patrimoine substantiel;</w:t>
      </w:r>
    </w:p>
    <w:p>
      <w:pPr>
        <w:pStyle w:val="ListParagraph"/>
        <w:numPr>
          <w:ilvl w:val="0"/>
          <w:numId w:val="2"/>
        </w:numPr>
        <w:spacing w:after="60"/>
      </w:pPr>
      <w:r>
        <w:rPr>
          <w:rFonts w:ascii="Arial" w:cs="Arial" w:eastAsia="Arial" w:hAnsi="Arial"/>
          <w:sz w:val="22"/>
          <w:szCs w:val="22"/>
        </w:rPr>
        <w:t xml:space="preserve">Dépôt en fiducie ou garantie en numéraire;</w:t>
      </w:r>
    </w:p>
    <w:p>
      <w:pPr>
        <w:pStyle w:val="ListParagraph"/>
        <w:numPr>
          <w:ilvl w:val="0"/>
          <w:numId w:val="2"/>
        </w:numPr>
        <w:spacing w:after="60"/>
      </w:pPr>
      <w:r>
        <w:rPr>
          <w:rFonts w:ascii="Arial" w:cs="Arial" w:eastAsia="Arial" w:hAnsi="Arial"/>
          <w:sz w:val="22"/>
          <w:szCs w:val="22"/>
        </w:rPr>
        <w:t xml:space="preserve">Toute autre sûreté ou collatéral acceptable au Prêteur.</w:t>
      </w:r>
    </w:p>
    <w:p>
      <w:pPr>
        <w:spacing w:after="100" w:line="280"/>
        <w:jc w:val="both"/>
      </w:pPr>
      <w:r>
        <w:rPr>
          <w:rFonts w:ascii="Arial" w:cs="Arial" w:eastAsia="Arial" w:hAnsi="Arial"/>
          <w:sz w:val="22"/>
          <w:szCs w:val="22"/>
        </w:rPr>
        <w:t xml:space="preserve">L'évaluation et l'acceptation de ces collatéraux relèvent de la discrétion exclusive du Prêteur, qui détermine la valeur attribuée à chaque collatéral et son effet sur les ratios applicables. Les conditions précises et collatéraux retenus pour le présent dossier sont décrits à l'Annexe J.</w:t>
      </w:r>
    </w:p>
    <w:p>
      <w:pPr>
        <w:keepNext/>
        <w:spacing w:after="120" w:before="240"/>
      </w:pPr>
      <w:r>
        <w:rPr>
          <w:rFonts w:ascii="Arial" w:cs="Arial" w:eastAsia="Arial" w:hAnsi="Arial"/>
          <w:b/>
          <w:bCs/>
          <w:sz w:val="24"/>
          <w:szCs w:val="24"/>
        </w:rPr>
        <w:t xml:space="preserve">ARTICLE 2 — CONDITIONS FINANCIÈRES</w:t>
      </w:r>
    </w:p>
    <w:p>
      <w:pPr>
        <w:keepNext/>
        <w:spacing w:after="60" w:before="180"/>
      </w:pPr>
      <w:r>
        <w:rPr>
          <w:rFonts w:ascii="Arial" w:cs="Arial" w:eastAsia="Arial" w:hAnsi="Arial"/>
          <w:b/>
          <w:bCs/>
          <w:sz w:val="22"/>
          <w:szCs w:val="22"/>
        </w:rPr>
        <w:t xml:space="preserve">2.1  Taux d'intérêt</w:t>
      </w:r>
    </w:p>
    <w:p>
      <w:pPr>
        <w:spacing w:after="100" w:line="280"/>
        <w:jc w:val="both"/>
      </w:pPr>
      <w:r>
        <w:rPr>
          <w:rFonts w:ascii="Arial" w:cs="Arial" w:eastAsia="Arial" w:hAnsi="Arial"/>
          <w:sz w:val="22"/>
          <w:szCs w:val="22"/>
        </w:rPr>
        <w:t xml:space="preserve">Le Prêt portera intérêt au taux annuel fixe de _________________ % par année, calculé et capitalisé mensuellement.</w:t>
      </w:r>
    </w:p>
    <w:p>
      <w:pPr>
        <w:keepNext/>
        <w:spacing w:after="60" w:before="180"/>
      </w:pPr>
      <w:r>
        <w:rPr>
          <w:rFonts w:ascii="Arial" w:cs="Arial" w:eastAsia="Arial" w:hAnsi="Arial"/>
          <w:b/>
          <w:bCs/>
          <w:sz w:val="22"/>
          <w:szCs w:val="22"/>
        </w:rPr>
        <w:t xml:space="preserve">2.2  Frais de dossier</w:t>
      </w:r>
    </w:p>
    <w:p>
      <w:pPr>
        <w:spacing w:after="100" w:line="280"/>
        <w:jc w:val="both"/>
      </w:pPr>
      <w:r>
        <w:rPr>
          <w:rFonts w:ascii="Arial" w:cs="Arial" w:eastAsia="Arial" w:hAnsi="Arial"/>
          <w:sz w:val="22"/>
          <w:szCs w:val="22"/>
        </w:rPr>
        <w:t xml:space="preserve">Des frais de dossier de _________________ $ (_________________ % du montant du Prêt) sont payables à Capital Norvex Inc. à la signature ou au déboursement, non remboursables.</w:t>
      </w:r>
    </w:p>
    <w:p>
      <w:pPr>
        <w:keepNext/>
        <w:spacing w:after="60" w:before="180"/>
      </w:pPr>
      <w:r>
        <w:rPr>
          <w:rFonts w:ascii="Arial" w:cs="Arial" w:eastAsia="Arial" w:hAnsi="Arial"/>
          <w:b/>
          <w:bCs/>
          <w:sz w:val="22"/>
          <w:szCs w:val="22"/>
        </w:rPr>
        <w:t xml:space="preserve">2.3  Frais d'analyse en cas de dépassement du terme</w:t>
      </w:r>
    </w:p>
    <w:p>
      <w:pPr>
        <w:spacing w:after="100" w:line="280"/>
        <w:jc w:val="both"/>
      </w:pPr>
      <w:r>
        <w:rPr>
          <w:rFonts w:ascii="Arial" w:cs="Arial" w:eastAsia="Arial" w:hAnsi="Arial"/>
          <w:sz w:val="22"/>
          <w:szCs w:val="22"/>
        </w:rPr>
        <w:t xml:space="preserve">Pour tout Prêt dont le terme initial est dépassé (c'est-à-dire en cas de prolongation au-delà de la Date d'Échéance initiale prévue à l'article 3.1), des frais d'analyse supplémentaires de un pour cent (1 %) du capital seront exigibles, sujets à renégociation au cas par cas selon les circonstances du dossier. Ces frais sont calculés sur le solde en capital à la Date d'Échéance et sont payables à la signature de toute prolongation ou, à défaut, sur première demande du Prêteur.</w:t>
      </w:r>
    </w:p>
    <w:p>
      <w:pPr>
        <w:keepNext/>
        <w:spacing w:after="60" w:before="180"/>
      </w:pPr>
      <w:r>
        <w:rPr>
          <w:rFonts w:ascii="Arial" w:cs="Arial" w:eastAsia="Arial" w:hAnsi="Arial"/>
          <w:b/>
          <w:bCs/>
          <w:sz w:val="22"/>
          <w:szCs w:val="22"/>
        </w:rPr>
        <w:t xml:space="preserve">2.4  Paiements d'intérêts</w:t>
      </w:r>
    </w:p>
    <w:p>
      <w:pPr>
        <w:spacing w:after="100" w:line="280"/>
        <w:jc w:val="both"/>
      </w:pPr>
      <w:r>
        <w:rPr>
          <w:rFonts w:ascii="Arial" w:cs="Arial" w:eastAsia="Arial" w:hAnsi="Arial"/>
          <w:sz w:val="22"/>
          <w:szCs w:val="22"/>
        </w:rPr>
        <w:t xml:space="preserve">L'Emprunteur versera des paiements d'intérêts mensuels de _________________ $, payables le _________________ de chaque mois, débutant le _________________. Aucun paiement de capital n'est requis avant la Date d'Échéance.</w:t>
      </w:r>
    </w:p>
    <w:p>
      <w:pPr>
        <w:keepNext/>
        <w:spacing w:after="60" w:before="180"/>
      </w:pPr>
      <w:r>
        <w:rPr>
          <w:rFonts w:ascii="Arial" w:cs="Arial" w:eastAsia="Arial" w:hAnsi="Arial"/>
          <w:b/>
          <w:bCs/>
          <w:sz w:val="22"/>
          <w:szCs w:val="22"/>
        </w:rPr>
        <w:t xml:space="preserve">2.5  Taux de défaut</w:t>
      </w:r>
    </w:p>
    <w:p>
      <w:pPr>
        <w:spacing w:after="100" w:line="280"/>
        <w:jc w:val="both"/>
      </w:pPr>
      <w:r>
        <w:rPr>
          <w:rFonts w:ascii="Arial" w:cs="Arial" w:eastAsia="Arial" w:hAnsi="Arial"/>
          <w:sz w:val="22"/>
          <w:szCs w:val="22"/>
        </w:rPr>
        <w:t xml:space="preserve">En cas de défaut, tout montant impayé portera intérêt au taux annuel de _________________ % jusqu'à paiement intégral.</w:t>
      </w:r>
    </w:p>
    <w:p>
      <w:pPr>
        <w:keepNext/>
        <w:spacing w:after="120" w:before="240"/>
      </w:pPr>
      <w:r>
        <w:rPr>
          <w:rFonts w:ascii="Arial" w:cs="Arial" w:eastAsia="Arial" w:hAnsi="Arial"/>
          <w:b/>
          <w:bCs/>
          <w:sz w:val="24"/>
          <w:szCs w:val="24"/>
        </w:rPr>
        <w:t xml:space="preserve">ARTICLE 3 — TERME ET REMBOURSEMENT</w:t>
      </w:r>
    </w:p>
    <w:p>
      <w:pPr>
        <w:keepNext/>
        <w:spacing w:after="60" w:before="180"/>
      </w:pPr>
      <w:r>
        <w:rPr>
          <w:rFonts w:ascii="Arial" w:cs="Arial" w:eastAsia="Arial" w:hAnsi="Arial"/>
          <w:b/>
          <w:bCs/>
          <w:sz w:val="22"/>
          <w:szCs w:val="22"/>
        </w:rPr>
        <w:t xml:space="preserve">3.1  Terme</w:t>
      </w:r>
    </w:p>
    <w:p>
      <w:pPr>
        <w:spacing w:after="100" w:line="280"/>
        <w:jc w:val="both"/>
      </w:pPr>
      <w:r>
        <w:rPr>
          <w:rFonts w:ascii="Arial" w:cs="Arial" w:eastAsia="Arial" w:hAnsi="Arial"/>
          <w:sz w:val="22"/>
          <w:szCs w:val="22"/>
        </w:rPr>
        <w:t xml:space="preserve">Le terme du Prêt est de _________________ mois (typiquement 12 mois renouvelable pour le refinancement), du _________________ au _________________ (la « Date d'Échéance »). L'intégralité du solde en capital et intérêts sera remboursée au plus tard à la Date d'Échéance.</w:t>
      </w:r>
    </w:p>
    <w:p>
      <w:pPr>
        <w:keepNext/>
        <w:spacing w:after="60" w:before="180"/>
      </w:pPr>
      <w:r>
        <w:rPr>
          <w:rFonts w:ascii="Arial" w:cs="Arial" w:eastAsia="Arial" w:hAnsi="Arial"/>
          <w:b/>
          <w:bCs/>
          <w:sz w:val="22"/>
          <w:szCs w:val="22"/>
        </w:rPr>
        <w:t xml:space="preserve">3.2  Renouvellement (le cas échéant)</w:t>
      </w:r>
    </w:p>
    <w:p>
      <w:pPr>
        <w:spacing w:after="100" w:line="280"/>
        <w:jc w:val="both"/>
      </w:pPr>
      <w:r>
        <w:rPr>
          <w:rFonts w:ascii="Arial" w:cs="Arial" w:eastAsia="Arial" w:hAnsi="Arial"/>
          <w:sz w:val="22"/>
          <w:szCs w:val="22"/>
        </w:rPr>
        <w:t xml:space="preserve">Le Prêteur peut, à sa seule discrétion, accepter de renouveler le Prêt aux conditions financières alors en vigueur, sous réserve d'une nouvelle évaluation de l'Immeuble, du respect continu des ratios de l'article 1.5 et du paiement des frais d'analyse (article 2.3) si applicables.</w:t>
      </w:r>
    </w:p>
    <w:p>
      <w:pPr>
        <w:keepNext/>
        <w:spacing w:after="60" w:before="180"/>
      </w:pPr>
      <w:r>
        <w:rPr>
          <w:rFonts w:ascii="Arial" w:cs="Arial" w:eastAsia="Arial" w:hAnsi="Arial"/>
          <w:b/>
          <w:bCs/>
          <w:sz w:val="22"/>
          <w:szCs w:val="22"/>
        </w:rPr>
        <w:t xml:space="preserve">3.3  Remboursement anticipé</w:t>
      </w:r>
    </w:p>
    <w:p>
      <w:pPr>
        <w:spacing w:after="100" w:line="280"/>
        <w:jc w:val="both"/>
      </w:pPr>
      <w:r>
        <w:rPr>
          <w:rFonts w:ascii="Arial" w:cs="Arial" w:eastAsia="Arial" w:hAnsi="Arial"/>
          <w:sz w:val="22"/>
          <w:szCs w:val="22"/>
        </w:rPr>
        <w:t xml:space="preserve">L'Emprunteur peut rembourser le Prêt en tout ou en partie sans pénalité, moyennant cinq (5) jours ouvrables de préavis écrit.</w:t>
      </w:r>
    </w:p>
    <w:p>
      <w:pPr>
        <w:keepNext/>
        <w:spacing w:after="60" w:before="180"/>
      </w:pPr>
      <w:r>
        <w:rPr>
          <w:rFonts w:ascii="Arial" w:cs="Arial" w:eastAsia="Arial" w:hAnsi="Arial"/>
          <w:b/>
          <w:bCs/>
          <w:sz w:val="22"/>
          <w:szCs w:val="22"/>
        </w:rPr>
        <w:t xml:space="preserve">3.4  Stratégie de sortie</w:t>
      </w:r>
    </w:p>
    <w:p>
      <w:pPr>
        <w:spacing w:after="100" w:line="280"/>
        <w:jc w:val="both"/>
      </w:pPr>
      <w:r>
        <w:rPr>
          <w:rFonts w:ascii="Arial" w:cs="Arial" w:eastAsia="Arial" w:hAnsi="Arial"/>
          <w:sz w:val="22"/>
          <w:szCs w:val="22"/>
        </w:rPr>
        <w:t xml:space="preserve">L'Emprunteur a fourni au Prêteur, préalablement au déboursement, une stratégie de sortie documentée pour le remboursement intégral du Prêt à la Date d'Échéance, telle que définie et précisée dans la Convention de prêt entre les Parties. Cette stratégie demeure une condition essentielle du Prêt et est intégrée au présent acte par référence.</w:t>
      </w:r>
    </w:p>
    <w:p>
      <w:pPr>
        <w:keepNext/>
        <w:spacing w:after="120" w:before="240"/>
      </w:pPr>
      <w:r>
        <w:rPr>
          <w:rFonts w:ascii="Arial" w:cs="Arial" w:eastAsia="Arial" w:hAnsi="Arial"/>
          <w:b/>
          <w:bCs/>
          <w:sz w:val="24"/>
          <w:szCs w:val="24"/>
        </w:rPr>
        <w:t xml:space="preserve">ARTICLE 4 — HYPOTHÈQUE IMMOBILIÈRE DE PREMIER RANG</w:t>
      </w:r>
    </w:p>
    <w:p>
      <w:pPr>
        <w:keepNext/>
        <w:spacing w:after="60" w:before="180"/>
      </w:pPr>
      <w:r>
        <w:rPr>
          <w:rFonts w:ascii="Arial" w:cs="Arial" w:eastAsia="Arial" w:hAnsi="Arial"/>
          <w:b/>
          <w:bCs/>
          <w:sz w:val="22"/>
          <w:szCs w:val="22"/>
        </w:rPr>
        <w:t xml:space="preserve">4.1  Constitution</w:t>
      </w:r>
    </w:p>
    <w:p>
      <w:pPr>
        <w:spacing w:after="100" w:line="280"/>
        <w:jc w:val="both"/>
      </w:pPr>
      <w:r>
        <w:rPr>
          <w:rFonts w:ascii="Arial" w:cs="Arial" w:eastAsia="Arial" w:hAnsi="Arial"/>
          <w:sz w:val="22"/>
          <w:szCs w:val="22"/>
        </w:rPr>
        <w:t xml:space="preserve">L'Emprunteur constitue en faveur du Prêteur une hypothèque immobilière de premier rang sur l'Immeuble, pour une somme principale de (_________________) dollars (_________________ $), plus intérêts au taux de _________________ % l'an, plus frais et honoraires (art. 2660 et s. C.c.Q.).</w:t>
      </w:r>
    </w:p>
    <w:p>
      <w:pPr>
        <w:keepNext/>
        <w:spacing w:after="60" w:before="180"/>
      </w:pPr>
      <w:r>
        <w:rPr>
          <w:rFonts w:ascii="Arial" w:cs="Arial" w:eastAsia="Arial" w:hAnsi="Arial"/>
          <w:b/>
          <w:bCs/>
          <w:sz w:val="22"/>
          <w:szCs w:val="22"/>
        </w:rPr>
        <w:t xml:space="preserve">4.2  Description de l'Immeuble</w:t>
      </w:r>
    </w:p>
    <w:p>
      <w:pPr>
        <w:spacing w:after="100" w:line="280"/>
        <w:jc w:val="both"/>
      </w:pPr>
      <w:r>
        <w:rPr>
          <w:rFonts w:ascii="Arial" w:cs="Arial" w:eastAsia="Arial" w:hAnsi="Arial"/>
          <w:sz w:val="22"/>
          <w:szCs w:val="22"/>
        </w:rPr>
        <w:t xml:space="preserve">Adresse civique : ________________________________________________</w:t>
      </w:r>
    </w:p>
    <w:p>
      <w:pPr>
        <w:spacing w:after="100" w:line="280"/>
        <w:jc w:val="both"/>
      </w:pPr>
      <w:r>
        <w:rPr>
          <w:rFonts w:ascii="Arial" w:cs="Arial" w:eastAsia="Arial" w:hAnsi="Arial"/>
          <w:sz w:val="22"/>
          <w:szCs w:val="22"/>
        </w:rPr>
        <w:t xml:space="preserve">Type d'immeuble : _________________ (multilogements / commercial / mixte / autre)</w:t>
      </w:r>
    </w:p>
    <w:p>
      <w:pPr>
        <w:spacing w:after="100" w:line="280"/>
        <w:jc w:val="both"/>
      </w:pPr>
      <w:r>
        <w:rPr>
          <w:rFonts w:ascii="Arial" w:cs="Arial" w:eastAsia="Arial" w:hAnsi="Arial"/>
          <w:sz w:val="22"/>
          <w:szCs w:val="22"/>
        </w:rPr>
        <w:t xml:space="preserve">Année de construction : _________________     Superficie : _________________ pi² / m²</w:t>
      </w:r>
    </w:p>
    <w:p>
      <w:pPr>
        <w:spacing w:after="100" w:line="280"/>
        <w:jc w:val="both"/>
      </w:pPr>
      <w:r>
        <w:rPr>
          <w:rFonts w:ascii="Arial" w:cs="Arial" w:eastAsia="Arial" w:hAnsi="Arial"/>
          <w:sz w:val="22"/>
          <w:szCs w:val="22"/>
        </w:rPr>
        <w:t xml:space="preserve">Lot(s) cadastraux — voir le tableau ci-dessous (le notaire peut ajouter des lignes au besoin)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Numéro de lot (cadastre du Québec)</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Circonscription foncière</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Superficie / Désignation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bl>
    <w:p>
      <w:pPr>
        <w:spacing w:after="60"/>
      </w:pPr>
      <w:r>
        <w:rPr>
          <w:rFonts w:ascii="Arial" w:cs="Arial" w:eastAsia="Arial" w:hAnsi="Arial"/>
          <w:i/>
          <w:iCs/>
          <w:color w:val="808080"/>
          <w:sz w:val="18"/>
          <w:szCs w:val="18"/>
        </w:rPr>
        <w:t xml:space="preserve">(Le notaire peut ajouter ou retirer des lignes au tableau selon le nombre de lots concernés.)</w:t>
      </w:r>
    </w:p>
    <w:p>
      <w:pPr>
        <w:spacing w:after="100" w:line="280"/>
        <w:jc w:val="both"/>
      </w:pPr>
      <w:r>
        <w:rPr>
          <w:rFonts w:ascii="Arial" w:cs="Arial" w:eastAsia="Arial" w:hAnsi="Arial"/>
          <w:sz w:val="22"/>
          <w:szCs w:val="22"/>
        </w:rPr>
        <w:t xml:space="preserve">Désignation cadastrale complète :</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Valeur foncière (rôle municipal) : _________________ $</w:t>
      </w:r>
    </w:p>
    <w:p>
      <w:pPr>
        <w:spacing w:after="100" w:line="280"/>
        <w:jc w:val="both"/>
      </w:pPr>
      <w:r>
        <w:rPr>
          <w:rFonts w:ascii="Arial" w:cs="Arial" w:eastAsia="Arial" w:hAnsi="Arial"/>
          <w:sz w:val="22"/>
          <w:szCs w:val="22"/>
        </w:rPr>
        <w:t xml:space="preserve">Valeur marchande (évaluation agréée AACI) : _________________ $</w:t>
      </w:r>
    </w:p>
    <w:p>
      <w:pPr>
        <w:spacing w:after="100" w:line="280"/>
        <w:jc w:val="both"/>
      </w:pPr>
      <w:r>
        <w:rPr>
          <w:rFonts w:ascii="Arial" w:cs="Arial" w:eastAsia="Arial" w:hAnsi="Arial"/>
          <w:sz w:val="22"/>
          <w:szCs w:val="22"/>
        </w:rPr>
        <w:t xml:space="preserve">Revenus locatifs bruts annuels : _________________ $     Revenus nets stabilisés : _________________ $</w:t>
      </w:r>
    </w:p>
    <w:p>
      <w:pPr>
        <w:spacing w:after="100" w:line="280"/>
        <w:jc w:val="both"/>
      </w:pPr>
      <w:r>
        <w:rPr>
          <w:rFonts w:ascii="Arial" w:cs="Arial" w:eastAsia="Arial" w:hAnsi="Arial"/>
          <w:sz w:val="22"/>
          <w:szCs w:val="22"/>
        </w:rPr>
        <w:t xml:space="preserve">Taux d'occupation actuel : _________________ %</w:t>
      </w:r>
    </w:p>
    <w:p>
      <w:pPr>
        <w:keepNext/>
        <w:spacing w:after="60" w:before="180"/>
      </w:pPr>
      <w:r>
        <w:rPr>
          <w:rFonts w:ascii="Arial" w:cs="Arial" w:eastAsia="Arial" w:hAnsi="Arial"/>
          <w:b/>
          <w:bCs/>
          <w:sz w:val="22"/>
          <w:szCs w:val="22"/>
        </w:rPr>
        <w:t xml:space="preserve">4.3  Déclaration de propriété et de rang</w:t>
      </w:r>
    </w:p>
    <w:p>
      <w:pPr>
        <w:spacing w:after="100" w:line="280"/>
        <w:jc w:val="both"/>
      </w:pPr>
      <w:r>
        <w:rPr>
          <w:rFonts w:ascii="Arial" w:cs="Arial" w:eastAsia="Arial" w:hAnsi="Arial"/>
          <w:sz w:val="22"/>
          <w:szCs w:val="22"/>
        </w:rPr>
        <w:t xml:space="preserve">L'Emprunteur déclare être l'unique propriétaire de l'Immeuble. Après radiation de l'hypothèque de l'Ancien Prêteur, l'Hypothèque consentie aux présentes sera de premier rang. Aucune autre charge, hypothèque, servitude ou réclamation n'affectera l'Immeuble, à l'exception de : ________________________________________________.</w:t>
      </w:r>
    </w:p>
    <w:p>
      <w:pPr>
        <w:keepNext/>
        <w:spacing w:after="60" w:before="180"/>
      </w:pPr>
      <w:r>
        <w:rPr>
          <w:rFonts w:ascii="Arial" w:cs="Arial" w:eastAsia="Arial" w:hAnsi="Arial"/>
          <w:b/>
          <w:bCs/>
          <w:sz w:val="22"/>
          <w:szCs w:val="22"/>
        </w:rPr>
        <w:t xml:space="preserve">4.4  Étendue</w:t>
      </w:r>
    </w:p>
    <w:p>
      <w:pPr>
        <w:spacing w:after="100" w:line="280"/>
        <w:jc w:val="both"/>
      </w:pPr>
      <w:r>
        <w:rPr>
          <w:rFonts w:ascii="Arial" w:cs="Arial" w:eastAsia="Arial" w:hAnsi="Arial"/>
          <w:sz w:val="22"/>
          <w:szCs w:val="22"/>
        </w:rPr>
        <w:t xml:space="preserve">L'Hypothèque s'étend à l'Immeuble tel qu'il existe, avec toutes améliorations, accessoires, équipements et installations fixés à demeure, ainsi qu'aux loyers et revenus en vertu de l'article 4.5.</w:t>
      </w:r>
    </w:p>
    <w:p>
      <w:pPr>
        <w:keepNext/>
        <w:spacing w:after="60" w:before="180"/>
      </w:pPr>
      <w:r>
        <w:rPr>
          <w:rFonts w:ascii="Arial" w:cs="Arial" w:eastAsia="Arial" w:hAnsi="Arial"/>
          <w:b/>
          <w:bCs/>
          <w:sz w:val="22"/>
          <w:szCs w:val="22"/>
        </w:rPr>
        <w:t xml:space="preserve">4.5  Cession de loyers</w:t>
      </w:r>
    </w:p>
    <w:p>
      <w:pPr>
        <w:spacing w:after="100" w:line="280"/>
        <w:jc w:val="both"/>
      </w:pPr>
      <w:r>
        <w:rPr>
          <w:rFonts w:ascii="Arial" w:cs="Arial" w:eastAsia="Arial" w:hAnsi="Arial"/>
          <w:sz w:val="22"/>
          <w:szCs w:val="22"/>
        </w:rPr>
        <w:t xml:space="preserve">À titre de garantie additionnelle, l'Emprunteur cède et hypothèque en faveur du Prêteur la totalité des loyers, baux et revenus présents et futurs de l'Immeuble (art. 2695 C.c.Q.). Cette cession deviendra effective uniquement lors d'un Événement de Défaut.</w:t>
      </w:r>
    </w:p>
    <w:p>
      <w:pPr>
        <w:keepNext/>
        <w:spacing w:after="60" w:before="180"/>
      </w:pPr>
      <w:r>
        <w:rPr>
          <w:rFonts w:ascii="Arial" w:cs="Arial" w:eastAsia="Arial" w:hAnsi="Arial"/>
          <w:b/>
          <w:bCs/>
          <w:sz w:val="22"/>
          <w:szCs w:val="22"/>
        </w:rPr>
        <w:t xml:space="preserve">4.6  Restrictions additionnelles</w:t>
      </w:r>
    </w:p>
    <w:p>
      <w:pPr>
        <w:spacing w:after="100" w:line="280"/>
        <w:jc w:val="both"/>
      </w:pPr>
      <w:r>
        <w:rPr>
          <w:rFonts w:ascii="Arial" w:cs="Arial" w:eastAsia="Arial" w:hAnsi="Arial"/>
          <w:sz w:val="22"/>
          <w:szCs w:val="22"/>
        </w:rPr>
        <w:t xml:space="preserve">Sans le consentement écrit préalable du Prêteur, l'Emprunteur ne peut :</w:t>
      </w:r>
    </w:p>
    <w:p>
      <w:pPr>
        <w:pStyle w:val="ListParagraph"/>
        <w:numPr>
          <w:ilvl w:val="0"/>
          <w:numId w:val="2"/>
        </w:numPr>
        <w:spacing w:after="60"/>
      </w:pPr>
      <w:r>
        <w:rPr>
          <w:rFonts w:ascii="Arial" w:cs="Arial" w:eastAsia="Arial" w:hAnsi="Arial"/>
          <w:sz w:val="22"/>
          <w:szCs w:val="22"/>
        </w:rPr>
        <w:t xml:space="preserve">Constituer toute charge, hypothèque ou sûreté additionnelle sur l'Immeuble;</w:t>
      </w:r>
    </w:p>
    <w:p>
      <w:pPr>
        <w:pStyle w:val="ListParagraph"/>
        <w:numPr>
          <w:ilvl w:val="0"/>
          <w:numId w:val="2"/>
        </w:numPr>
        <w:spacing w:after="60"/>
      </w:pPr>
      <w:r>
        <w:rPr>
          <w:rFonts w:ascii="Arial" w:cs="Arial" w:eastAsia="Arial" w:hAnsi="Arial"/>
          <w:sz w:val="22"/>
          <w:szCs w:val="22"/>
        </w:rPr>
        <w:t xml:space="preserve">Vendre, aliéner, subdiviser, morceler ou regrouper l'Immeuble;</w:t>
      </w:r>
    </w:p>
    <w:p>
      <w:pPr>
        <w:pStyle w:val="ListParagraph"/>
        <w:numPr>
          <w:ilvl w:val="0"/>
          <w:numId w:val="2"/>
        </w:numPr>
        <w:spacing w:after="60"/>
      </w:pPr>
      <w:r>
        <w:rPr>
          <w:rFonts w:ascii="Arial" w:cs="Arial" w:eastAsia="Arial" w:hAnsi="Arial"/>
          <w:sz w:val="22"/>
          <w:szCs w:val="22"/>
        </w:rPr>
        <w:t xml:space="preserve">Conclure tout bail à long terme (plus de cinq ans) à des conditions hors marché;</w:t>
      </w:r>
    </w:p>
    <w:p>
      <w:pPr>
        <w:pStyle w:val="ListParagraph"/>
        <w:numPr>
          <w:ilvl w:val="0"/>
          <w:numId w:val="2"/>
        </w:numPr>
        <w:spacing w:after="60"/>
      </w:pPr>
      <w:r>
        <w:rPr>
          <w:rFonts w:ascii="Arial" w:cs="Arial" w:eastAsia="Arial" w:hAnsi="Arial"/>
          <w:sz w:val="22"/>
          <w:szCs w:val="22"/>
        </w:rPr>
        <w:t xml:space="preserve">Modifier substantiellement la nature ou l'affectation de l'Immeuble.</w:t>
      </w:r>
    </w:p>
    <w:p>
      <w:pPr>
        <w:keepNext/>
        <w:spacing w:after="60" w:before="180"/>
      </w:pPr>
      <w:r>
        <w:rPr>
          <w:rFonts w:ascii="Arial" w:cs="Arial" w:eastAsia="Arial" w:hAnsi="Arial"/>
          <w:b/>
          <w:bCs/>
          <w:sz w:val="22"/>
          <w:szCs w:val="22"/>
        </w:rPr>
        <w:t xml:space="preserve">4.7  Publication</w:t>
      </w:r>
    </w:p>
    <w:p>
      <w:pPr>
        <w:spacing w:after="100" w:line="280"/>
        <w:jc w:val="both"/>
      </w:pPr>
      <w:r>
        <w:rPr>
          <w:rFonts w:ascii="Arial" w:cs="Arial" w:eastAsia="Arial" w:hAnsi="Arial"/>
          <w:sz w:val="22"/>
          <w:szCs w:val="22"/>
        </w:rPr>
        <w:t xml:space="preserve">Le présent acte sera publié au registre foncier, circonscription foncière de _________________, aux frais de l'Emprunteur, simultanément à la radiation de l'hypothèque de l'Ancien Prêteur.</w:t>
      </w:r>
    </w:p>
    <w:p>
      <w:pPr>
        <w:keepNext/>
        <w:spacing w:after="120" w:before="240"/>
      </w:pPr>
      <w:r>
        <w:rPr>
          <w:rFonts w:ascii="Arial" w:cs="Arial" w:eastAsia="Arial" w:hAnsi="Arial"/>
          <w:b/>
          <w:bCs/>
          <w:sz w:val="24"/>
          <w:szCs w:val="24"/>
        </w:rPr>
        <w:t xml:space="preserve">ARTICLE 5 — DISPOSITIONS PARTICULIÈRES AU REFINANCEMENT</w:t>
      </w:r>
    </w:p>
    <w:p>
      <w:pPr>
        <w:keepNext/>
        <w:spacing w:after="60" w:before="180"/>
      </w:pPr>
      <w:r>
        <w:rPr>
          <w:rFonts w:ascii="Arial" w:cs="Arial" w:eastAsia="Arial" w:hAnsi="Arial"/>
          <w:b/>
          <w:bCs/>
          <w:sz w:val="22"/>
          <w:szCs w:val="22"/>
        </w:rPr>
        <w:t xml:space="preserve">5.1  Quittance et mainlevée de l'Ancien Prêteur</w:t>
      </w:r>
    </w:p>
    <w:p>
      <w:pPr>
        <w:spacing w:after="100" w:line="280"/>
        <w:jc w:val="both"/>
      </w:pPr>
      <w:r>
        <w:rPr>
          <w:rFonts w:ascii="Arial" w:cs="Arial" w:eastAsia="Arial" w:hAnsi="Arial"/>
          <w:sz w:val="22"/>
          <w:szCs w:val="22"/>
        </w:rPr>
        <w:t xml:space="preserve">Avant ou simultanément au déboursement, l'Emprunteur doit obtenir et remettre au notaire :</w:t>
      </w:r>
    </w:p>
    <w:p>
      <w:pPr>
        <w:pStyle w:val="ListParagraph"/>
        <w:numPr>
          <w:ilvl w:val="0"/>
          <w:numId w:val="2"/>
        </w:numPr>
        <w:spacing w:after="60"/>
      </w:pPr>
      <w:r>
        <w:rPr>
          <w:rFonts w:ascii="Arial" w:cs="Arial" w:eastAsia="Arial" w:hAnsi="Arial"/>
          <w:sz w:val="22"/>
          <w:szCs w:val="22"/>
        </w:rPr>
        <w:t xml:space="preserve">Une quittance définitive de l'Ancien Prêteur attestant le paiement intégral du solde dû;</w:t>
      </w:r>
    </w:p>
    <w:p>
      <w:pPr>
        <w:pStyle w:val="ListParagraph"/>
        <w:numPr>
          <w:ilvl w:val="0"/>
          <w:numId w:val="2"/>
        </w:numPr>
        <w:spacing w:after="60"/>
      </w:pPr>
      <w:r>
        <w:rPr>
          <w:rFonts w:ascii="Arial" w:cs="Arial" w:eastAsia="Arial" w:hAnsi="Arial"/>
          <w:sz w:val="22"/>
          <w:szCs w:val="22"/>
        </w:rPr>
        <w:t xml:space="preserve">Une mainlevée totale d'hypothèque dûment publiée au registre foncier.</w:t>
      </w:r>
    </w:p>
    <w:p>
      <w:pPr>
        <w:keepNext/>
        <w:spacing w:after="60" w:before="180"/>
      </w:pPr>
      <w:r>
        <w:rPr>
          <w:rFonts w:ascii="Arial" w:cs="Arial" w:eastAsia="Arial" w:hAnsi="Arial"/>
          <w:b/>
          <w:bCs/>
          <w:sz w:val="22"/>
          <w:szCs w:val="22"/>
        </w:rPr>
        <w:t xml:space="preserve">5.2  Affectation contrôlée des fonds excédentaires</w:t>
      </w:r>
    </w:p>
    <w:p>
      <w:pPr>
        <w:spacing w:after="100" w:line="280"/>
        <w:jc w:val="both"/>
      </w:pPr>
      <w:r>
        <w:rPr>
          <w:rFonts w:ascii="Arial" w:cs="Arial" w:eastAsia="Arial" w:hAnsi="Arial"/>
          <w:sz w:val="22"/>
          <w:szCs w:val="22"/>
        </w:rPr>
        <w:t xml:space="preserve">Les fonds excédant le remboursement de l'Ancien Prêteur et les frais (les « Fonds Additionnels ») seront, à la demande du Prêteur, libérés progressivement contre justificatifs (factures, contrats, etc.) selon l'usage déclaré à l'article 1.2.</w:t>
      </w:r>
    </w:p>
    <w:p>
      <w:pPr>
        <w:keepNext/>
        <w:spacing w:after="60" w:before="180"/>
      </w:pPr>
      <w:r>
        <w:rPr>
          <w:rFonts w:ascii="Arial" w:cs="Arial" w:eastAsia="Arial" w:hAnsi="Arial"/>
          <w:b/>
          <w:bCs/>
          <w:sz w:val="22"/>
          <w:szCs w:val="22"/>
        </w:rPr>
        <w:t xml:space="preserve">5.3  Maintien des conditions</w:t>
      </w:r>
    </w:p>
    <w:p>
      <w:pPr>
        <w:spacing w:after="100" w:line="280"/>
        <w:jc w:val="both"/>
      </w:pPr>
      <w:r>
        <w:rPr>
          <w:rFonts w:ascii="Arial" w:cs="Arial" w:eastAsia="Arial" w:hAnsi="Arial"/>
          <w:sz w:val="22"/>
          <w:szCs w:val="22"/>
        </w:rPr>
        <w:t xml:space="preserve">L'Emprunteur s'engage, pendant toute la durée du Prêt, à :</w:t>
      </w:r>
    </w:p>
    <w:p>
      <w:pPr>
        <w:pStyle w:val="ListParagraph"/>
        <w:numPr>
          <w:ilvl w:val="0"/>
          <w:numId w:val="2"/>
        </w:numPr>
        <w:spacing w:after="60"/>
      </w:pPr>
      <w:r>
        <w:rPr>
          <w:rFonts w:ascii="Arial" w:cs="Arial" w:eastAsia="Arial" w:hAnsi="Arial"/>
          <w:sz w:val="22"/>
          <w:szCs w:val="22"/>
        </w:rPr>
        <w:t xml:space="preserve">Maintenir l'Immeuble en bon état d'entretien et conforme à toute réglementation applicable;</w:t>
      </w:r>
    </w:p>
    <w:p>
      <w:pPr>
        <w:pStyle w:val="ListParagraph"/>
        <w:numPr>
          <w:ilvl w:val="0"/>
          <w:numId w:val="2"/>
        </w:numPr>
        <w:spacing w:after="60"/>
      </w:pPr>
      <w:r>
        <w:rPr>
          <w:rFonts w:ascii="Arial" w:cs="Arial" w:eastAsia="Arial" w:hAnsi="Arial"/>
          <w:sz w:val="22"/>
          <w:szCs w:val="22"/>
        </w:rPr>
        <w:t xml:space="preserve">Maintenir le taux d'occupation et les revenus locatifs au moins équivalents à ceux déclarés à l'article 4.2;</w:t>
      </w:r>
    </w:p>
    <w:p>
      <w:pPr>
        <w:pStyle w:val="ListParagraph"/>
        <w:numPr>
          <w:ilvl w:val="0"/>
          <w:numId w:val="2"/>
        </w:numPr>
        <w:spacing w:after="60"/>
      </w:pPr>
      <w:r>
        <w:rPr>
          <w:rFonts w:ascii="Arial" w:cs="Arial" w:eastAsia="Arial" w:hAnsi="Arial"/>
          <w:sz w:val="22"/>
          <w:szCs w:val="22"/>
        </w:rPr>
        <w:t xml:space="preserve">Ne pas dégrader le DCR sous le seuil de 1,20x;</w:t>
      </w:r>
    </w:p>
    <w:p>
      <w:pPr>
        <w:pStyle w:val="ListParagraph"/>
        <w:numPr>
          <w:ilvl w:val="0"/>
          <w:numId w:val="2"/>
        </w:numPr>
        <w:spacing w:after="60"/>
      </w:pPr>
      <w:r>
        <w:rPr>
          <w:rFonts w:ascii="Arial" w:cs="Arial" w:eastAsia="Arial" w:hAnsi="Arial"/>
          <w:sz w:val="22"/>
          <w:szCs w:val="22"/>
        </w:rPr>
        <w:t xml:space="preserve">Fournir au Prêteur, sur demande et au minimum semestriellement, les états financiers et le rapport d'exploitation de l'Immeuble.</w:t>
      </w:r>
    </w:p>
    <w:p>
      <w:pPr>
        <w:keepNext/>
        <w:spacing w:after="60" w:before="180"/>
      </w:pPr>
      <w:r>
        <w:rPr>
          <w:rFonts w:ascii="Arial" w:cs="Arial" w:eastAsia="Arial" w:hAnsi="Arial"/>
          <w:b/>
          <w:bCs/>
          <w:sz w:val="22"/>
          <w:szCs w:val="22"/>
        </w:rPr>
        <w:t xml:space="preserve">5.4  Taxes, charges et obligations courantes — TOLÉRANCE ZÉRO</w:t>
      </w:r>
    </w:p>
    <w:p>
      <w:pPr>
        <w:spacing w:after="100" w:line="280"/>
        <w:jc w:val="both"/>
      </w:pPr>
      <w:r>
        <w:rPr>
          <w:rFonts w:ascii="Arial" w:cs="Arial" w:eastAsia="Arial" w:hAnsi="Arial"/>
          <w:sz w:val="22"/>
          <w:szCs w:val="22"/>
        </w:rPr>
        <w:t xml:space="preserve">L'Emprunteur s'engage à payer ponctuellement à leur échéance toutes les taxes foncières, taxes scolaires, taxes d'amélioration locale, charges municipales, primes d'assurance et toutes autres obligations courantes affectant l'Immeuble.</w:t>
      </w:r>
    </w:p>
    <w:p>
      <w:pPr>
        <w:spacing w:after="100" w:line="280"/>
        <w:jc w:val="both"/>
      </w:pPr>
      <w:r>
        <w:rPr>
          <w:rFonts w:ascii="Arial" w:cs="Arial" w:eastAsia="Arial" w:hAnsi="Arial"/>
          <w:b/>
          <w:bCs/>
          <w:sz w:val="22"/>
          <w:szCs w:val="22"/>
        </w:rPr>
        <w:t xml:space="preserve">AUCUN retard n'est toléré. En cas de retard ou de défaut de paiement, l'Emprunteur s'engage à régulariser la situation immédiatement dès qu'il en est avisé, et au plus tard dans les sept (7) jours d'un avis écrit du Prêteur. À défaut, un Événement de Défaut sera automatiquement déclaré, et le Prêteur pourra : (i) payer directement la créance et porter le montant au capital du Prêt avec intérêts au taux de défaut; (ii) déclarer le Prêt immédiatement exigible et exercer tous ses recours.</w:t>
      </w:r>
    </w:p>
    <w:p>
      <w:pPr>
        <w:keepNext/>
        <w:spacing w:after="60" w:before="180"/>
      </w:pPr>
      <w:r>
        <w:rPr>
          <w:rFonts w:ascii="Arial" w:cs="Arial" w:eastAsia="Arial" w:hAnsi="Arial"/>
          <w:b/>
          <w:bCs/>
          <w:sz w:val="22"/>
          <w:szCs w:val="22"/>
        </w:rPr>
        <w:t xml:space="preserve">5.5  Assurances</w:t>
      </w:r>
    </w:p>
    <w:p>
      <w:pPr>
        <w:spacing w:after="100" w:line="280"/>
        <w:jc w:val="both"/>
      </w:pPr>
      <w:r>
        <w:rPr>
          <w:rFonts w:ascii="Arial" w:cs="Arial" w:eastAsia="Arial" w:hAnsi="Arial"/>
          <w:sz w:val="22"/>
          <w:szCs w:val="22"/>
        </w:rPr>
        <w:t xml:space="preserve">L'Emprunteur maintiendra en vigueur, pendant toute la durée du Prêt, les assurances suivantes, avec Capital Norvex désigné comme assuré additionnel ou bénéficiaire :</w:t>
      </w:r>
    </w:p>
    <w:p>
      <w:pPr>
        <w:pStyle w:val="ListParagraph"/>
        <w:numPr>
          <w:ilvl w:val="0"/>
          <w:numId w:val="2"/>
        </w:numPr>
        <w:spacing w:after="60"/>
      </w:pPr>
      <w:r>
        <w:rPr>
          <w:rFonts w:ascii="Arial" w:cs="Arial" w:eastAsia="Arial" w:hAnsi="Arial"/>
          <w:sz w:val="22"/>
          <w:szCs w:val="22"/>
        </w:rPr>
        <w:t xml:space="preserve">Assurance de biens « tous risques » couvrant la valeur de remplacement de l'Immeuble;</w:t>
      </w:r>
    </w:p>
    <w:p>
      <w:pPr>
        <w:pStyle w:val="ListParagraph"/>
        <w:numPr>
          <w:ilvl w:val="0"/>
          <w:numId w:val="2"/>
        </w:numPr>
        <w:spacing w:after="60"/>
      </w:pPr>
      <w:r>
        <w:rPr>
          <w:rFonts w:ascii="Arial" w:cs="Arial" w:eastAsia="Arial" w:hAnsi="Arial"/>
          <w:sz w:val="22"/>
          <w:szCs w:val="22"/>
        </w:rPr>
        <w:t xml:space="preserve">Assurance responsabilité civile générale d'au moins _________________ $;</w:t>
      </w:r>
    </w:p>
    <w:p>
      <w:pPr>
        <w:pStyle w:val="ListParagraph"/>
        <w:numPr>
          <w:ilvl w:val="0"/>
          <w:numId w:val="2"/>
        </w:numPr>
        <w:spacing w:after="60"/>
      </w:pPr>
      <w:r>
        <w:rPr>
          <w:rFonts w:ascii="Arial" w:cs="Arial" w:eastAsia="Arial" w:hAnsi="Arial"/>
          <w:sz w:val="22"/>
          <w:szCs w:val="22"/>
        </w:rPr>
        <w:t xml:space="preserve">Assurance perte de revenus locatifs (le cas échéant).</w:t>
      </w:r>
    </w:p>
    <w:p>
      <w:pPr>
        <w:keepNext/>
        <w:spacing w:after="120" w:before="240"/>
      </w:pPr>
      <w:r>
        <w:rPr>
          <w:rFonts w:ascii="Arial" w:cs="Arial" w:eastAsia="Arial" w:hAnsi="Arial"/>
          <w:b/>
          <w:bCs/>
          <w:sz w:val="24"/>
          <w:szCs w:val="24"/>
        </w:rPr>
        <w:t xml:space="preserve">ARTICLE 6 — ÉVÉNEMENTS DE DÉFAUT</w:t>
      </w:r>
    </w:p>
    <w:p>
      <w:pPr>
        <w:keepNext/>
        <w:spacing w:after="60" w:before="180"/>
      </w:pPr>
      <w:r>
        <w:rPr>
          <w:rFonts w:ascii="Arial" w:cs="Arial" w:eastAsia="Arial" w:hAnsi="Arial"/>
          <w:b/>
          <w:bCs/>
          <w:sz w:val="22"/>
          <w:szCs w:val="22"/>
        </w:rPr>
        <w:t xml:space="preserve">6.1  Définition</w:t>
      </w:r>
    </w:p>
    <w:p>
      <w:pPr>
        <w:spacing w:after="100" w:line="280"/>
        <w:jc w:val="both"/>
      </w:pPr>
      <w:r>
        <w:rPr>
          <w:rFonts w:ascii="Arial" w:cs="Arial" w:eastAsia="Arial" w:hAnsi="Arial"/>
          <w:sz w:val="22"/>
          <w:szCs w:val="22"/>
        </w:rPr>
        <w:t xml:space="preserve">Constituent un Événement de Défaut, sans préavis ni mise en demeure préalable autre que ceux prévus par la loi :</w:t>
      </w:r>
    </w:p>
    <w:p>
      <w:pPr>
        <w:pStyle w:val="ListParagraph"/>
        <w:numPr>
          <w:ilvl w:val="0"/>
          <w:numId w:val="2"/>
        </w:numPr>
        <w:spacing w:after="60"/>
      </w:pPr>
      <w:r>
        <w:rPr>
          <w:rFonts w:ascii="Arial" w:cs="Arial" w:eastAsia="Arial" w:hAnsi="Arial"/>
          <w:sz w:val="22"/>
          <w:szCs w:val="22"/>
        </w:rPr>
        <w:t xml:space="preserve">Tout défaut de paiement à son échéance;</w:t>
      </w:r>
    </w:p>
    <w:p>
      <w:pPr>
        <w:pStyle w:val="ListParagraph"/>
        <w:numPr>
          <w:ilvl w:val="0"/>
          <w:numId w:val="2"/>
        </w:numPr>
        <w:spacing w:after="60"/>
      </w:pPr>
      <w:r>
        <w:rPr>
          <w:rFonts w:ascii="Arial" w:cs="Arial" w:eastAsia="Arial" w:hAnsi="Arial"/>
          <w:sz w:val="22"/>
          <w:szCs w:val="22"/>
        </w:rPr>
        <w:t xml:space="preserve">Le défaut de fournir ou de maintenir une stratégie de sortie acceptable et documentée;</w:t>
      </w:r>
    </w:p>
    <w:p>
      <w:pPr>
        <w:pStyle w:val="ListParagraph"/>
        <w:numPr>
          <w:ilvl w:val="0"/>
          <w:numId w:val="2"/>
        </w:numPr>
        <w:spacing w:after="60"/>
      </w:pPr>
      <w:r>
        <w:rPr>
          <w:rFonts w:ascii="Arial" w:cs="Arial" w:eastAsia="Arial" w:hAnsi="Arial"/>
          <w:sz w:val="22"/>
          <w:szCs w:val="22"/>
        </w:rPr>
        <w:t xml:space="preserve">Toute fausse déclaration substantielle de l'Emprunteur, notamment quant à l'affectation des fonds;</w:t>
      </w:r>
    </w:p>
    <w:p>
      <w:pPr>
        <w:pStyle w:val="ListParagraph"/>
        <w:numPr>
          <w:ilvl w:val="0"/>
          <w:numId w:val="2"/>
        </w:numPr>
        <w:spacing w:after="60"/>
      </w:pPr>
      <w:r>
        <w:rPr>
          <w:rFonts w:ascii="Arial" w:cs="Arial" w:eastAsia="Arial" w:hAnsi="Arial"/>
          <w:sz w:val="22"/>
          <w:szCs w:val="22"/>
        </w:rPr>
        <w:t xml:space="preserve">L'usage des fonds à des fins autres que celles déclarées à l'article 1.2 (cash-out non autorisé);</w:t>
      </w:r>
    </w:p>
    <w:p>
      <w:pPr>
        <w:pStyle w:val="ListParagraph"/>
        <w:numPr>
          <w:ilvl w:val="0"/>
          <w:numId w:val="2"/>
        </w:numPr>
        <w:spacing w:after="60"/>
      </w:pPr>
      <w:r>
        <w:rPr>
          <w:rFonts w:ascii="Arial" w:cs="Arial" w:eastAsia="Arial" w:hAnsi="Arial"/>
          <w:sz w:val="22"/>
          <w:szCs w:val="22"/>
        </w:rPr>
        <w:t xml:space="preserve">La détérioration matérielle des ratios LTV ou DCR sous les seuils de l'article 1.5;</w:t>
      </w:r>
    </w:p>
    <w:p>
      <w:pPr>
        <w:pStyle w:val="ListParagraph"/>
        <w:numPr>
          <w:ilvl w:val="0"/>
          <w:numId w:val="2"/>
        </w:numPr>
        <w:spacing w:after="60"/>
      </w:pPr>
      <w:r>
        <w:rPr>
          <w:rFonts w:ascii="Arial" w:cs="Arial" w:eastAsia="Arial" w:hAnsi="Arial"/>
          <w:sz w:val="22"/>
          <w:szCs w:val="22"/>
        </w:rPr>
        <w:t xml:space="preserve">L'enregistrement de toute charge ou hypothèque additionnelle non autorisée;</w:t>
      </w:r>
    </w:p>
    <w:p>
      <w:pPr>
        <w:pStyle w:val="ListParagraph"/>
        <w:numPr>
          <w:ilvl w:val="0"/>
          <w:numId w:val="2"/>
        </w:numPr>
        <w:spacing w:after="60"/>
      </w:pPr>
      <w:r>
        <w:rPr>
          <w:rFonts w:ascii="Arial" w:cs="Arial" w:eastAsia="Arial" w:hAnsi="Arial"/>
          <w:sz w:val="22"/>
          <w:szCs w:val="22"/>
        </w:rPr>
        <w:t xml:space="preserve">L'aliénation ou la modification substantielle de l'Immeuble sans autorisation écrite préalable;</w:t>
      </w:r>
    </w:p>
    <w:p>
      <w:pPr>
        <w:pStyle w:val="ListParagraph"/>
        <w:numPr>
          <w:ilvl w:val="0"/>
          <w:numId w:val="2"/>
        </w:numPr>
        <w:spacing w:after="60"/>
      </w:pPr>
      <w:r>
        <w:rPr>
          <w:rFonts w:ascii="Arial" w:cs="Arial" w:eastAsia="Arial" w:hAnsi="Arial"/>
          <w:sz w:val="22"/>
          <w:szCs w:val="22"/>
        </w:rPr>
        <w:t xml:space="preserve">Le défaut de maintenir en vigueur les assurances et permis requis;</w:t>
      </w:r>
    </w:p>
    <w:p>
      <w:pPr>
        <w:pStyle w:val="ListParagraph"/>
        <w:numPr>
          <w:ilvl w:val="0"/>
          <w:numId w:val="2"/>
        </w:numPr>
        <w:spacing w:after="60"/>
      </w:pPr>
      <w:r>
        <w:rPr>
          <w:rFonts w:ascii="Arial" w:cs="Arial" w:eastAsia="Arial" w:hAnsi="Arial"/>
          <w:sz w:val="22"/>
          <w:szCs w:val="22"/>
        </w:rPr>
        <w:t xml:space="preserve">L'insolvabilité, la faillite ou la mise sous séquestre de l'Emprunteur;</w:t>
      </w:r>
    </w:p>
    <w:p>
      <w:pPr>
        <w:pStyle w:val="ListParagraph"/>
        <w:numPr>
          <w:ilvl w:val="0"/>
          <w:numId w:val="2"/>
        </w:numPr>
        <w:spacing w:after="60"/>
      </w:pPr>
      <w:r>
        <w:rPr>
          <w:rFonts w:ascii="Arial" w:cs="Arial" w:eastAsia="Arial" w:hAnsi="Arial"/>
          <w:sz w:val="22"/>
          <w:szCs w:val="22"/>
        </w:rPr>
        <w:t xml:space="preserve">Tout autre manquement aux engagements du présent acte non remédié dans les quinze (15) jours d'un avis du Prêteur.</w:t>
      </w:r>
    </w:p>
    <w:p>
      <w:pPr>
        <w:keepNext/>
        <w:spacing w:after="60" w:before="180"/>
      </w:pPr>
      <w:r>
        <w:rPr>
          <w:rFonts w:ascii="Arial" w:cs="Arial" w:eastAsia="Arial" w:hAnsi="Arial"/>
          <w:b/>
          <w:bCs/>
          <w:sz w:val="22"/>
          <w:szCs w:val="22"/>
        </w:rPr>
        <w:t xml:space="preserve">6.2  Recours</w:t>
      </w:r>
    </w:p>
    <w:p>
      <w:pPr>
        <w:spacing w:after="100" w:line="280"/>
        <w:jc w:val="both"/>
      </w:pPr>
      <w:r>
        <w:rPr>
          <w:rFonts w:ascii="Arial" w:cs="Arial" w:eastAsia="Arial" w:hAnsi="Arial"/>
          <w:sz w:val="22"/>
          <w:szCs w:val="22"/>
        </w:rPr>
        <w:t xml:space="preserve">Lors d'un Événement de Défaut, le Prêteur peut, à son entière discrétion : (i) déclarer le Prêt immédiatement exigible; (ii) faire valoir tous les recours hypothécaires (art. 2748 et s. C.c.Q.), incluant la prise en paiement, la vente sous contrôle de justice et la vente par le créancier; (iii) percevoir directement les loyers en vertu de la cession; (iv) faire exécuter les cautionnements; (v) cumuler les recours.</w:t>
      </w:r>
    </w:p>
    <w:p>
      <w:pPr>
        <w:keepNext/>
        <w:spacing w:after="120" w:before="240"/>
      </w:pPr>
      <w:r>
        <w:rPr>
          <w:rFonts w:ascii="Arial" w:cs="Arial" w:eastAsia="Arial" w:hAnsi="Arial"/>
          <w:b/>
          <w:bCs/>
          <w:sz w:val="24"/>
          <w:szCs w:val="24"/>
        </w:rPr>
        <w:t xml:space="preserve">ARTICLE 7 — CAUTIONNEMENT PERSONNEL (S'IL Y A LIEU)</w:t>
      </w:r>
    </w:p>
    <w:p>
      <w:pPr>
        <w:spacing w:after="100" w:line="280"/>
        <w:jc w:val="both"/>
      </w:pPr>
      <w:r>
        <w:rPr>
          <w:rFonts w:ascii="Arial" w:cs="Arial" w:eastAsia="Arial" w:hAnsi="Arial"/>
          <w:sz w:val="22"/>
          <w:szCs w:val="22"/>
        </w:rPr>
        <w:t xml:space="preserve">Le(s) Garant(s) se porte(nt) caution(s) solidaire(s) de toutes les obligations de l'Emprunteur aux présentes, sans bénéfice de discussion ni de division (art. 2333 et s. C.c.Q.).</w:t>
      </w:r>
    </w:p>
    <w:p>
      <w:pPr>
        <w:keepNext/>
        <w:spacing w:after="120" w:before="240"/>
      </w:pPr>
      <w:r>
        <w:rPr>
          <w:rFonts w:ascii="Arial" w:cs="Arial" w:eastAsia="Arial" w:hAnsi="Arial"/>
          <w:b/>
          <w:bCs/>
          <w:sz w:val="24"/>
          <w:szCs w:val="24"/>
        </w:rPr>
        <w:t xml:space="preserve">ARTICLE 8 — DISPOSITIONS GÉNÉRALES</w:t>
      </w:r>
    </w:p>
    <w:p>
      <w:pPr>
        <w:keepNext/>
        <w:spacing w:after="60" w:before="180"/>
      </w:pPr>
      <w:r>
        <w:rPr>
          <w:rFonts w:ascii="Arial" w:cs="Arial" w:eastAsia="Arial" w:hAnsi="Arial"/>
          <w:b/>
          <w:bCs/>
          <w:sz w:val="22"/>
          <w:szCs w:val="22"/>
        </w:rPr>
        <w:t xml:space="preserve">8.1  Droit applicable</w:t>
      </w:r>
    </w:p>
    <w:p>
      <w:pPr>
        <w:spacing w:after="100" w:line="280"/>
        <w:jc w:val="both"/>
      </w:pPr>
      <w:r>
        <w:rPr>
          <w:rFonts w:ascii="Arial" w:cs="Arial" w:eastAsia="Arial" w:hAnsi="Arial"/>
          <w:sz w:val="22"/>
          <w:szCs w:val="22"/>
        </w:rPr>
        <w:t xml:space="preserve">Les présentes sont régies par les lois du Québec. Tout litige sera soumis aux tribunaux du district de _________________.</w:t>
      </w:r>
    </w:p>
    <w:p>
      <w:pPr>
        <w:keepNext/>
        <w:spacing w:after="60" w:before="180"/>
      </w:pPr>
      <w:r>
        <w:rPr>
          <w:rFonts w:ascii="Arial" w:cs="Arial" w:eastAsia="Arial" w:hAnsi="Arial"/>
          <w:b/>
          <w:bCs/>
          <w:sz w:val="22"/>
          <w:szCs w:val="22"/>
        </w:rPr>
        <w:t xml:space="preserve">8.2  Langue</w:t>
      </w:r>
    </w:p>
    <w:p>
      <w:pPr>
        <w:spacing w:after="100" w:line="280"/>
        <w:jc w:val="both"/>
      </w:pPr>
      <w:r>
        <w:rPr>
          <w:rFonts w:ascii="Arial" w:cs="Arial" w:eastAsia="Arial" w:hAnsi="Arial"/>
          <w:sz w:val="22"/>
          <w:szCs w:val="22"/>
        </w:rPr>
        <w:t xml:space="preserve">Les Parties ont requis la rédaction en français. The parties have required this deed to be drafted in French.</w:t>
      </w:r>
    </w:p>
    <w:p>
      <w:pPr>
        <w:keepNext/>
        <w:spacing w:after="60" w:before="180"/>
      </w:pPr>
      <w:r>
        <w:rPr>
          <w:rFonts w:ascii="Arial" w:cs="Arial" w:eastAsia="Arial" w:hAnsi="Arial"/>
          <w:b/>
          <w:bCs/>
          <w:sz w:val="22"/>
          <w:szCs w:val="22"/>
        </w:rPr>
        <w:t xml:space="preserve">8.3  Notifications</w:t>
      </w:r>
    </w:p>
    <w:p>
      <w:pPr>
        <w:spacing w:after="100" w:line="280"/>
        <w:jc w:val="both"/>
      </w:pPr>
      <w:r>
        <w:rPr>
          <w:rFonts w:ascii="Arial" w:cs="Arial" w:eastAsia="Arial" w:hAnsi="Arial"/>
          <w:sz w:val="22"/>
          <w:szCs w:val="22"/>
        </w:rPr>
        <w:t xml:space="preserve">Tout avis sera transmis par courrier recommandé, courriel (avec confirmation de lecture) ou remise en mains propres aux adresses indiquées en tête des présentes.</w:t>
      </w:r>
    </w:p>
    <w:p>
      <w:pPr>
        <w:keepNext/>
        <w:spacing w:after="60" w:before="180"/>
      </w:pPr>
      <w:r>
        <w:rPr>
          <w:rFonts w:ascii="Arial" w:cs="Arial" w:eastAsia="Arial" w:hAnsi="Arial"/>
          <w:b/>
          <w:bCs/>
          <w:sz w:val="22"/>
          <w:szCs w:val="22"/>
        </w:rPr>
        <w:t xml:space="preserve">8.4  Frais</w:t>
      </w:r>
    </w:p>
    <w:p>
      <w:pPr>
        <w:spacing w:after="100" w:line="280"/>
        <w:jc w:val="both"/>
      </w:pPr>
      <w:r>
        <w:rPr>
          <w:rFonts w:ascii="Arial" w:cs="Arial" w:eastAsia="Arial" w:hAnsi="Arial"/>
          <w:sz w:val="22"/>
          <w:szCs w:val="22"/>
        </w:rPr>
        <w:t xml:space="preserve">Tous les frais (honoraires notariaux, publication, évaluation, étude environnementale, primes d'assurance, honoraires d'avocats en cas de défaut) sont à la charge exclusive de l'Emprunteur.</w:t>
      </w:r>
    </w:p>
    <w:p>
      <w:pPr>
        <w:keepNext/>
        <w:spacing w:after="60" w:before="180"/>
      </w:pPr>
      <w:r>
        <w:rPr>
          <w:rFonts w:ascii="Arial" w:cs="Arial" w:eastAsia="Arial" w:hAnsi="Arial"/>
          <w:b/>
          <w:bCs/>
          <w:sz w:val="22"/>
          <w:szCs w:val="22"/>
        </w:rPr>
        <w:t xml:space="preserve">8.5  CANAFE / LRPCFAT</w:t>
      </w:r>
    </w:p>
    <w:p>
      <w:pPr>
        <w:spacing w:after="100" w:line="280"/>
        <w:jc w:val="both"/>
      </w:pPr>
      <w:r>
        <w:rPr>
          <w:rFonts w:ascii="Arial" w:cs="Arial" w:eastAsia="Arial" w:hAnsi="Arial"/>
          <w:sz w:val="22"/>
          <w:szCs w:val="22"/>
        </w:rPr>
        <w:t xml:space="preserve">Le Prêteur a procédé à la vérification d'identité, à la vérification de la source des fonds et aux contrôles requis conformément à la Loi sur le recyclage des produits de la criminalité et le financement des activités terroristes (LRPCFAT).</w:t>
      </w:r>
    </w:p>
    <w:p>
      <w:pPr>
        <w:keepNext/>
        <w:spacing w:after="60" w:before="180"/>
      </w:pPr>
      <w:r>
        <w:rPr>
          <w:rFonts w:ascii="Arial" w:cs="Arial" w:eastAsia="Arial" w:hAnsi="Arial"/>
          <w:b/>
          <w:bCs/>
          <w:sz w:val="22"/>
          <w:szCs w:val="22"/>
        </w:rPr>
        <w:t xml:space="preserve">8.6  Intégralité</w:t>
      </w:r>
    </w:p>
    <w:p>
      <w:pPr>
        <w:spacing w:after="100" w:line="280"/>
        <w:jc w:val="both"/>
      </w:pPr>
      <w:r>
        <w:rPr>
          <w:rFonts w:ascii="Arial" w:cs="Arial" w:eastAsia="Arial" w:hAnsi="Arial"/>
          <w:sz w:val="22"/>
          <w:szCs w:val="22"/>
        </w:rPr>
        <w:t xml:space="preserve">Le présent acte, avec ses annexes et la Convention de prêt visée à l'article 8.7, constitue l'intégralité de l'entente entre les Parties relativement au Prêt et remplace toute entente antérieure verbale ou écrite.</w:t>
      </w:r>
    </w:p>
    <w:p>
      <w:pPr>
        <w:keepNext/>
        <w:spacing w:after="60" w:before="180"/>
      </w:pPr>
      <w:r>
        <w:rPr>
          <w:rFonts w:ascii="Arial" w:cs="Arial" w:eastAsia="Arial" w:hAnsi="Arial"/>
          <w:b/>
          <w:bCs/>
          <w:sz w:val="22"/>
          <w:szCs w:val="22"/>
        </w:rPr>
        <w:t xml:space="preserve">8.7  Indissociabilité avec la Convention de prêt — CLAUSE FONDAMENTALE</w:t>
      </w:r>
    </w:p>
    <w:p>
      <w:pPr>
        <w:spacing w:after="100" w:line="280"/>
        <w:jc w:val="both"/>
      </w:pPr>
      <w:r>
        <w:rPr>
          <w:rFonts w:ascii="Arial" w:cs="Arial" w:eastAsia="Arial" w:hAnsi="Arial"/>
          <w:b/>
          <w:bCs/>
          <w:sz w:val="22"/>
          <w:szCs w:val="22"/>
        </w:rPr>
        <w:t xml:space="preserve">Le présent acte d'hypothèque et la Convention de prêt conclue entre les Parties forment un ensemble contractuel INDISSOCIABLE et complémentaire. Les Parties reconnaissent expressément et conviennent irrévocablement que ces deux documents doivent être lus, interprétés et exécutés conjointement, comme s'ils ne formaient qu'un seul et même contrat. Toute clause, condition, déclaration, garantie, engagement ou obligation prévu(e) dans la Convention de prêt s'applique pleinement et de plein droit aux Parties au présent acte, et tout manquement aux termes de la Convention de prêt constitue automatiquement un Événement de Défaut au sens de l'article 6 du présent acte. Aucune des Parties ne peut invoquer l'absence d'une clause dans l'un des deux documents pour échapper à une obligation prévue dans l'autre. En cas de divergence ou d'ambiguïté entre les deux documents, l'interprétation la plus favorable au Prêteur prévaudra.</w:t>
      </w:r>
    </w:p>
    <w:p>
      <w:pPr>
        <w:keepNext/>
        <w:spacing w:after="120" w:before="240"/>
      </w:pPr>
      <w:r>
        <w:rPr>
          <w:rFonts w:ascii="Arial" w:cs="Arial" w:eastAsia="Arial" w:hAnsi="Arial"/>
          <w:b/>
          <w:bCs/>
          <w:sz w:val="24"/>
          <w:szCs w:val="24"/>
        </w:rPr>
        <w:t xml:space="preserve">ANNEXES</w:t>
      </w:r>
    </w:p>
    <w:p>
      <w:pPr>
        <w:pStyle w:val="ListParagraph"/>
        <w:numPr>
          <w:ilvl w:val="0"/>
          <w:numId w:val="2"/>
        </w:numPr>
        <w:spacing w:after="60"/>
      </w:pPr>
      <w:r>
        <w:rPr>
          <w:rFonts w:ascii="Arial" w:cs="Arial" w:eastAsia="Arial" w:hAnsi="Arial"/>
          <w:sz w:val="22"/>
          <w:szCs w:val="22"/>
        </w:rPr>
        <w:t xml:space="preserve">Annexe A — Évaluation agréée AACI de l'Immeuble</w:t>
      </w:r>
    </w:p>
    <w:p>
      <w:pPr>
        <w:pStyle w:val="ListParagraph"/>
        <w:numPr>
          <w:ilvl w:val="0"/>
          <w:numId w:val="2"/>
        </w:numPr>
        <w:spacing w:after="60"/>
      </w:pPr>
      <w:r>
        <w:rPr>
          <w:rFonts w:ascii="Arial" w:cs="Arial" w:eastAsia="Arial" w:hAnsi="Arial"/>
          <w:sz w:val="22"/>
          <w:szCs w:val="22"/>
        </w:rPr>
        <w:t xml:space="preserve">Annexe B — Quittance et mainlevée de l'Ancien Prêteur</w:t>
      </w:r>
    </w:p>
    <w:p>
      <w:pPr>
        <w:pStyle w:val="ListParagraph"/>
        <w:numPr>
          <w:ilvl w:val="0"/>
          <w:numId w:val="2"/>
        </w:numPr>
        <w:spacing w:after="60"/>
      </w:pPr>
      <w:r>
        <w:rPr>
          <w:rFonts w:ascii="Arial" w:cs="Arial" w:eastAsia="Arial" w:hAnsi="Arial"/>
          <w:sz w:val="22"/>
          <w:szCs w:val="22"/>
        </w:rPr>
        <w:t xml:space="preserve">Annexe C — Étude environnementale Phase I (le cas échéant)</w:t>
      </w:r>
    </w:p>
    <w:p>
      <w:pPr>
        <w:pStyle w:val="ListParagraph"/>
        <w:numPr>
          <w:ilvl w:val="0"/>
          <w:numId w:val="2"/>
        </w:numPr>
        <w:spacing w:after="60"/>
      </w:pPr>
      <w:r>
        <w:rPr>
          <w:rFonts w:ascii="Arial" w:cs="Arial" w:eastAsia="Arial" w:hAnsi="Arial"/>
          <w:sz w:val="22"/>
          <w:szCs w:val="22"/>
        </w:rPr>
        <w:t xml:space="preserve">Annexe D — États financiers et rapport d'exploitation de l'Immeuble</w:t>
      </w:r>
    </w:p>
    <w:p>
      <w:pPr>
        <w:pStyle w:val="ListParagraph"/>
        <w:numPr>
          <w:ilvl w:val="0"/>
          <w:numId w:val="2"/>
        </w:numPr>
        <w:spacing w:after="60"/>
      </w:pPr>
      <w:r>
        <w:rPr>
          <w:rFonts w:ascii="Arial" w:cs="Arial" w:eastAsia="Arial" w:hAnsi="Arial"/>
          <w:sz w:val="22"/>
          <w:szCs w:val="22"/>
        </w:rPr>
        <w:t xml:space="preserve">Annexe E — Documentation de la stratégie de sortie (lettre bancaire, promesse de vente, etc.)</w:t>
      </w:r>
    </w:p>
    <w:p>
      <w:pPr>
        <w:pStyle w:val="ListParagraph"/>
        <w:numPr>
          <w:ilvl w:val="0"/>
          <w:numId w:val="2"/>
        </w:numPr>
        <w:spacing w:after="60"/>
      </w:pPr>
      <w:r>
        <w:rPr>
          <w:rFonts w:ascii="Arial" w:cs="Arial" w:eastAsia="Arial" w:hAnsi="Arial"/>
          <w:sz w:val="22"/>
          <w:szCs w:val="22"/>
        </w:rPr>
        <w:t xml:space="preserve">Annexe F — Polices d'assurance</w:t>
      </w:r>
    </w:p>
    <w:p>
      <w:pPr>
        <w:pStyle w:val="ListParagraph"/>
        <w:numPr>
          <w:ilvl w:val="0"/>
          <w:numId w:val="2"/>
        </w:numPr>
        <w:spacing w:after="60"/>
      </w:pPr>
      <w:r>
        <w:rPr>
          <w:rFonts w:ascii="Arial" w:cs="Arial" w:eastAsia="Arial" w:hAnsi="Arial"/>
          <w:sz w:val="22"/>
          <w:szCs w:val="22"/>
        </w:rPr>
        <w:t xml:space="preserve">Annexe G — Justificatifs d'affectation des Fonds Additionnels</w:t>
      </w:r>
    </w:p>
    <w:p>
      <w:pPr>
        <w:pStyle w:val="ListParagraph"/>
        <w:numPr>
          <w:ilvl w:val="0"/>
          <w:numId w:val="2"/>
        </w:numPr>
        <w:spacing w:after="60"/>
      </w:pPr>
      <w:r>
        <w:rPr>
          <w:rFonts w:ascii="Arial" w:cs="Arial" w:eastAsia="Arial" w:hAnsi="Arial"/>
          <w:sz w:val="22"/>
          <w:szCs w:val="22"/>
        </w:rPr>
        <w:t xml:space="preserve">Annexe H — Cautionnement personnel des Garants (le cas échéant)</w:t>
      </w:r>
    </w:p>
    <w:p>
      <w:pPr>
        <w:pStyle w:val="ListParagraph"/>
        <w:numPr>
          <w:ilvl w:val="0"/>
          <w:numId w:val="2"/>
        </w:numPr>
        <w:spacing w:after="60"/>
      </w:pPr>
      <w:r>
        <w:rPr>
          <w:rFonts w:ascii="Arial" w:cs="Arial" w:eastAsia="Arial" w:hAnsi="Arial"/>
          <w:sz w:val="22"/>
          <w:szCs w:val="22"/>
        </w:rPr>
        <w:t xml:space="preserve">Annexe I — Résolution corporative de Capital Norvex Inc. désignant le mandataire signataire</w:t>
      </w:r>
    </w:p>
    <w:p>
      <w:pPr>
        <w:pStyle w:val="ListParagraph"/>
        <w:numPr>
          <w:ilvl w:val="0"/>
          <w:numId w:val="2"/>
        </w:numPr>
        <w:spacing w:after="60"/>
      </w:pPr>
      <w:r>
        <w:rPr>
          <w:rFonts w:ascii="Arial" w:cs="Arial" w:eastAsia="Arial" w:hAnsi="Arial"/>
          <w:sz w:val="22"/>
          <w:szCs w:val="22"/>
        </w:rPr>
        <w:t xml:space="preserve">Annexe J — Description des collatéraux et garanties supplémentaires retenus (le cas échéant)</w:t>
      </w:r>
    </w:p>
    <w:p>
      <w:pPr>
        <w:keepNext/>
        <w:spacing w:after="120" w:before="240"/>
      </w:pPr>
      <w:r>
        <w:rPr>
          <w:rFonts w:ascii="Arial" w:cs="Arial" w:eastAsia="Arial" w:hAnsi="Arial"/>
          <w:b/>
          <w:bCs/>
          <w:sz w:val="24"/>
          <w:szCs w:val="24"/>
        </w:rPr>
        <w:t xml:space="preserve">SIGNATURES ET ATTESTATION NOTARIALE</w:t>
      </w:r>
    </w:p>
    <w:p>
      <w:pPr>
        <w:spacing w:after="100" w:line="280"/>
        <w:jc w:val="both"/>
      </w:pPr>
      <w:r>
        <w:rPr>
          <w:rFonts w:ascii="Arial" w:cs="Arial" w:eastAsia="Arial" w:hAnsi="Arial"/>
          <w:sz w:val="22"/>
          <w:szCs w:val="22"/>
        </w:rPr>
        <w:t xml:space="preserve">EN FOI DE QUOI, les Parties ont signé à _________________, le _________________ jour de _________________ _________________.</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CAPITAL NORVEX INC.</w:t>
      </w:r>
    </w:p>
    <w:p>
      <w:pPr>
        <w:spacing w:after="40"/>
      </w:pPr>
      <w:r>
        <w:rPr>
          <w:rFonts w:ascii="Arial" w:cs="Arial" w:eastAsia="Arial" w:hAnsi="Arial"/>
          <w:sz w:val="22"/>
          <w:szCs w:val="22"/>
        </w:rPr>
        <w:t xml:space="preserve">Le Prêteur</w:t>
      </w:r>
    </w:p>
    <w:p>
      <w:pPr>
        <w:spacing w:after="40"/>
      </w:pPr>
      <w:r>
        <w:rPr>
          <w:rFonts w:ascii="Arial" w:cs="Arial" w:eastAsia="Arial" w:hAnsi="Arial"/>
          <w:sz w:val="22"/>
          <w:szCs w:val="22"/>
        </w:rPr>
        <w:t xml:space="preserve">Par : _________________ (mandataire désigné)</w:t>
      </w:r>
    </w:p>
    <w:p>
      <w:pPr>
        <w:spacing w:after="40"/>
      </w:pPr>
      <w:r>
        <w:rPr>
          <w:rFonts w:ascii="Arial" w:cs="Arial" w:eastAsia="Arial" w:hAnsi="Arial"/>
          <w:sz w:val="22"/>
          <w:szCs w:val="22"/>
        </w:rPr>
        <w:t xml:space="preserve">Titre : _________________</w:t>
      </w:r>
    </w:p>
    <w:p>
      <w:pPr>
        <w:spacing w:after="40"/>
      </w:pPr>
      <w:r>
        <w:rPr>
          <w:rFonts w:ascii="Arial" w:cs="Arial" w:eastAsia="Arial" w:hAnsi="Arial"/>
          <w:sz w:val="22"/>
          <w:szCs w:val="22"/>
        </w:rPr>
        <w:t xml:space="preserve">En vertu de la Résolution corporative en date du : _________________</w:t>
      </w:r>
    </w:p>
    <w:p>
      <w:pPr>
        <w:spacing w:after="40"/>
      </w:pPr>
      <w:r>
        <w:rPr>
          <w:rFonts w:ascii="Arial" w:cs="Arial" w:eastAsia="Arial" w:hAnsi="Arial"/>
          <w:sz w:val="22"/>
          <w:szCs w:val="22"/>
        </w:rPr>
        <w:t xml:space="preserve">Signée par : Madame Suzanne Breton, présidente et actionnaire unique</w:t>
      </w:r>
    </w:p>
    <w:p>
      <w:pPr>
        <w:spacing w:after="40"/>
      </w:pPr>
      <w:r>
        <w:rPr>
          <w:rFonts w:ascii="Arial" w:cs="Arial" w:eastAsia="Arial" w:hAnsi="Arial"/>
          <w:sz w:val="22"/>
          <w:szCs w:val="22"/>
        </w:rPr>
        <w:t xml:space="preserve">(Annexe I)</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L'EMPRUNTEUR</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Par : _________________</w:t>
      </w:r>
    </w:p>
    <w:p>
      <w:pPr>
        <w:spacing w:after="40"/>
      </w:pPr>
      <w:r>
        <w:rPr>
          <w:rFonts w:ascii="Arial" w:cs="Arial" w:eastAsia="Arial" w:hAnsi="Arial"/>
          <w:sz w:val="22"/>
          <w:szCs w:val="22"/>
        </w:rPr>
        <w:t xml:space="preserve">Titre : _________________</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LE GARANT (s'il y a lieu)</w:t>
      </w:r>
    </w:p>
    <w:p>
      <w:pPr>
        <w:spacing w:after="40"/>
      </w:pPr>
      <w:r>
        <w:rPr>
          <w:rFonts w:ascii="Arial" w:cs="Arial" w:eastAsia="Arial" w:hAnsi="Arial"/>
          <w:sz w:val="22"/>
          <w:szCs w:val="22"/>
        </w:rPr>
        <w:t xml:space="preserve">_________________</w:t>
      </w:r>
    </w:p>
    <w:p>
      <w:pPr>
        <w:keepNext/>
        <w:spacing w:after="120" w:before="240"/>
      </w:pPr>
      <w:r>
        <w:rPr>
          <w:rFonts w:ascii="Arial" w:cs="Arial" w:eastAsia="Arial" w:hAnsi="Arial"/>
          <w:b/>
          <w:bCs/>
          <w:sz w:val="24"/>
          <w:szCs w:val="24"/>
        </w:rPr>
        <w:t xml:space="preserve">ATTESTATION DU NOTAIRE INSTRUMENTANT</w:t>
      </w:r>
    </w:p>
    <w:p>
      <w:pPr>
        <w:spacing w:after="100" w:line="280"/>
        <w:jc w:val="both"/>
      </w:pPr>
      <w:r>
        <w:rPr>
          <w:rFonts w:ascii="Arial" w:cs="Arial" w:eastAsia="Arial" w:hAnsi="Arial"/>
          <w:sz w:val="22"/>
          <w:szCs w:val="22"/>
        </w:rPr>
        <w:t xml:space="preserve">JE SOUSSIGNÉ(E), _________________, notaire pratiquant au Québec, certifie avoir reçu le présent acte en minute, vérifié l'identité et la capacité des parties, et leur avoir donné lecture, lesquelles ont approuvé et signé en ma présence.</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Notaire instrumentant</w:t>
      </w:r>
    </w:p>
    <w:p>
      <w:pPr>
        <w:spacing w:after="40"/>
      </w:pPr>
      <w:r>
        <w:rPr>
          <w:rFonts w:ascii="Arial" w:cs="Arial" w:eastAsia="Arial" w:hAnsi="Arial"/>
          <w:sz w:val="22"/>
          <w:szCs w:val="22"/>
        </w:rPr>
        <w:t xml:space="preserve">No. de dossier notarial : _________________</w:t>
      </w:r>
    </w:p>
    <w:p>
      <w:pPr>
        <w:spacing w:after="100" w:before="400"/>
      </w:pPr>
    </w:p>
    <w:p>
      <w:pPr>
        <w:spacing w:after="60" w:before="60"/>
        <w:jc w:val="center"/>
      </w:pPr>
      <w:r>
        <w:rPr>
          <w:rFonts w:ascii="Arial" w:cs="Arial" w:eastAsia="Arial" w:hAnsi="Arial"/>
          <w:i/>
          <w:iCs/>
          <w:color w:val="808080"/>
          <w:sz w:val="18"/>
          <w:szCs w:val="18"/>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  ·  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ACTE D'HYPOTHÈQUE IMMOBILIÈRE — REFINANCEMENT   |   CAPITAL NORVEX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Acte d'hypothèque immobilière — REFINANCEMENT</dc:title>
  <dc:creator>Capital Norvex Inc.</dc:creator>
  <dc:description>Modèle juridique pour notaire instrumentant</dc:description>
  <cp:lastModifiedBy>Un-named</cp:lastModifiedBy>
  <cp:revision>1</cp:revision>
  <dcterms:created xsi:type="dcterms:W3CDTF">2026-05-03T16:14:14.541Z</dcterms:created>
  <dcterms:modified xsi:type="dcterms:W3CDTF">2026-05-03T16:14:14.542Z</dcterms:modified>
</cp:coreProperties>
</file>

<file path=docProps/custom.xml><?xml version="1.0" encoding="utf-8"?>
<Properties xmlns="http://schemas.openxmlformats.org/officeDocument/2006/custom-properties" xmlns:vt="http://schemas.openxmlformats.org/officeDocument/2006/docPropsVTypes"/>
</file>