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71"/>
        <w:tblLayout w:type="fixed"/>
        <w:tblLook w:firstRow="1" w:lastRow="1" w:firstColumn="0" w:lastColumn="0" w:noHBand="0" w:noVBand="0" w:val="0020"/>
      </w:tblPr>
      <w:tblGrid>
        <w:gridCol w:w="1889"/>
        <w:gridCol w:w="871"/>
        <w:gridCol w:w="871"/>
        <w:gridCol w:w="1017"/>
        <w:gridCol w:w="1162"/>
        <w:gridCol w:w="871"/>
        <w:gridCol w:w="87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H1: t</w:t>
            </w:r>
          </w:p>
        </w:tc>
        <w:tc>
          <w:tcPr/>
          <w:p>
            <w:pPr>
              <w:pStyle w:val="Compact"/>
            </w:pPr>
            <w:r>
              <w:t xml:space="preserve">H1: t-1</w:t>
            </w:r>
          </w:p>
        </w:tc>
        <w:tc>
          <w:tcPr/>
          <w:p>
            <w:pPr>
              <w:pStyle w:val="Compact"/>
            </w:pPr>
            <w:r>
              <w:t xml:space="preserve">No controls</w:t>
            </w:r>
          </w:p>
        </w:tc>
        <w:tc>
          <w:tcPr/>
          <w:p>
            <w:pPr>
              <w:pStyle w:val="Compact"/>
            </w:pPr>
            <w:r>
              <w:t xml:space="preserve">H2: intensity</w:t>
            </w:r>
          </w:p>
        </w:tc>
        <w:tc>
          <w:tcPr/>
          <w:p>
            <w:pPr>
              <w:pStyle w:val="Compact"/>
            </w:pPr>
            <w:r>
              <w:t xml:space="preserve">H4: onset</w:t>
            </w:r>
          </w:p>
        </w:tc>
        <w:tc>
          <w:tcPr/>
          <w:p>
            <w:pPr>
              <w:pStyle w:val="Compact"/>
            </w:pPr>
            <w:r>
              <w:t xml:space="preserve">H4: lags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SPEI-12 (Dec), t</w:t>
            </w:r>
          </w:p>
        </w:tc>
        <w:tc>
          <w:tcPr/>
          <w:p>
            <w:pPr>
              <w:pStyle w:val="Compact"/>
            </w:pPr>
            <w:r>
              <w:t xml:space="preserve">0.209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0.232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(0.267)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(0.292)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SPEI-12 (Dec), t-1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-0.581***</w:t>
            </w:r>
          </w:p>
        </w:tc>
        <w:tc>
          <w:tcPr/>
          <w:p>
            <w:pPr>
              <w:pStyle w:val="Compact"/>
            </w:pPr>
            <w:r>
              <w:t xml:space="preserve">-0.426*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-0.631**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(0.176)</w:t>
            </w:r>
          </w:p>
        </w:tc>
        <w:tc>
          <w:tcPr/>
          <w:p>
            <w:pPr>
              <w:pStyle w:val="Compact"/>
            </w:pPr>
            <w:r>
              <w:t xml:space="preserve">(0.167)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(0.193)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SPEI-12 (Dec), t-2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(0.185)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Moderate drought, t-1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0.677+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(0.403)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Severe drought, t-1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-0.104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(1.045)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Extreme drought, t-1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1.534+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(0.803)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Drought onset, t-1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0.695*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(0.319)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GDP p.c. growth (wins.)</w:t>
            </w:r>
          </w:p>
        </w:tc>
        <w:tc>
          <w:tcPr/>
          <w:p>
            <w:pPr>
              <w:pStyle w:val="Compact"/>
            </w:pPr>
            <w:r>
              <w:t xml:space="preserve">-0.131***</w:t>
            </w:r>
          </w:p>
        </w:tc>
        <w:tc>
          <w:tcPr/>
          <w:p>
            <w:pPr>
              <w:pStyle w:val="Compact"/>
            </w:pPr>
            <w:r>
              <w:t xml:space="preserve">-0.128***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-0.129***</w:t>
            </w:r>
          </w:p>
        </w:tc>
        <w:tc>
          <w:tcPr/>
          <w:p>
            <w:pPr>
              <w:pStyle w:val="Compact"/>
            </w:pPr>
            <w:r>
              <w:t xml:space="preserve">-0.131***</w:t>
            </w:r>
          </w:p>
        </w:tc>
        <w:tc>
          <w:tcPr/>
          <w:p>
            <w:pPr>
              <w:pStyle w:val="Compact"/>
            </w:pPr>
            <w:r>
              <w:t xml:space="preserve">-0.137***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(0.025)</w:t>
            </w:r>
          </w:p>
        </w:tc>
        <w:tc>
          <w:tcPr/>
          <w:p>
            <w:pPr>
              <w:pStyle w:val="Compact"/>
            </w:pPr>
            <w:r>
              <w:t xml:space="preserve">(0.025)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(0.024)</w:t>
            </w:r>
          </w:p>
        </w:tc>
        <w:tc>
          <w:tcPr/>
          <w:p>
            <w:pPr>
              <w:pStyle w:val="Compact"/>
            </w:pPr>
            <w:r>
              <w:t xml:space="preserve">(0.024)</w:t>
            </w:r>
          </w:p>
        </w:tc>
        <w:tc>
          <w:tcPr/>
          <w:p>
            <w:pPr>
              <w:pStyle w:val="Compact"/>
            </w:pPr>
            <w:r>
              <w:t xml:space="preserve">(0.024)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Military expenditure</w:t>
            </w:r>
          </w:p>
        </w:tc>
        <w:tc>
          <w:tcPr/>
          <w:p>
            <w:pPr>
              <w:pStyle w:val="Compact"/>
            </w:pPr>
            <w:r>
              <w:t xml:space="preserve">0.014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(0.020)</w:t>
            </w:r>
          </w:p>
        </w:tc>
        <w:tc>
          <w:tcPr/>
          <w:p>
            <w:pPr>
              <w:pStyle w:val="Compact"/>
            </w:pPr>
            <w:r>
              <w:t xml:space="preserve">(0.020)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(0.020)</w:t>
            </w:r>
          </w:p>
        </w:tc>
        <w:tc>
          <w:tcPr/>
          <w:p>
            <w:pPr>
              <w:pStyle w:val="Compact"/>
            </w:pPr>
            <w:r>
              <w:t xml:space="preserve">(0.021)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1274</w:t>
            </w:r>
          </w:p>
        </w:tc>
        <w:tc>
          <w:tcPr/>
          <w:p>
            <w:pPr>
              <w:pStyle w:val="Compact"/>
            </w:pPr>
            <w:r>
              <w:t xml:space="preserve">1257</w:t>
            </w:r>
          </w:p>
        </w:tc>
        <w:tc>
          <w:tcPr/>
          <w:p>
            <w:pPr>
              <w:pStyle w:val="Compact"/>
            </w:pPr>
            <w:r>
              <w:t xml:space="preserve">1716</w:t>
            </w:r>
          </w:p>
        </w:tc>
        <w:tc>
          <w:tcPr/>
          <w:p>
            <w:pPr>
              <w:pStyle w:val="Compact"/>
            </w:pPr>
            <w:r>
              <w:t xml:space="preserve">1323</w:t>
            </w:r>
          </w:p>
        </w:tc>
        <w:tc>
          <w:tcPr/>
          <w:p>
            <w:pPr>
              <w:pStyle w:val="Compact"/>
            </w:pPr>
            <w:r>
              <w:t xml:space="preserve">1257</w:t>
            </w:r>
          </w:p>
        </w:tc>
        <w:tc>
          <w:tcPr/>
          <w:p>
            <w:pPr>
              <w:pStyle w:val="Compact"/>
            </w:pPr>
            <w:r>
              <w:t xml:space="preserve">1237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Log.Lik.</w:t>
            </w:r>
          </w:p>
        </w:tc>
        <w:tc>
          <w:tcPr/>
          <w:p>
            <w:pPr>
              <w:pStyle w:val="Compact"/>
            </w:pPr>
            <w:r>
              <w:t xml:space="preserve">-187.815</w:t>
            </w:r>
          </w:p>
        </w:tc>
        <w:tc>
          <w:tcPr/>
          <w:p>
            <w:pPr>
              <w:pStyle w:val="Compact"/>
            </w:pPr>
            <w:r>
              <w:t xml:space="preserve">-179.407</w:t>
            </w:r>
          </w:p>
        </w:tc>
        <w:tc>
          <w:tcPr/>
          <w:p>
            <w:pPr>
              <w:pStyle w:val="Compact"/>
            </w:pPr>
            <w:r>
              <w:t xml:space="preserve">-301.083</w:t>
            </w:r>
          </w:p>
        </w:tc>
        <w:tc>
          <w:tcPr/>
          <w:p>
            <w:pPr>
              <w:pStyle w:val="Compact"/>
            </w:pPr>
            <w:r>
              <w:t xml:space="preserve">-182.598</w:t>
            </w:r>
          </w:p>
        </w:tc>
        <w:tc>
          <w:tcPr/>
          <w:p>
            <w:pPr>
              <w:pStyle w:val="Compact"/>
            </w:pPr>
            <w:r>
              <w:t xml:space="preserve">-181.676</w:t>
            </w:r>
          </w:p>
        </w:tc>
        <w:tc>
          <w:tcPr/>
          <w:p>
            <w:pPr>
              <w:pStyle w:val="Compact"/>
            </w:pPr>
            <w:r>
              <w:t xml:space="preserve">-171.641</w:t>
            </w:r>
          </w:p>
        </w:tc>
      </w:tr>
      <w:tr>
        <w:tc>
          <w:tcPr>
            <w:gridSpan w:val="7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  <w:tr>
        <w:tc>
          <w:tcPr>
            <w:gridSpan w:val="7"/>
          </w:tcPr>
          <w:p>
            <w:pPr>
              <w:pStyle w:val="Compact"/>
            </w:pPr>
            <w:r>
              <w:t xml:space="preserve">Logit. Decade dummies included. SE clustered by country. Col. 3 excludes the economic controls.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2026-07-19T13:29:30Z</dcterms:created>
  <dcterms:modified xsi:type="dcterms:W3CDTF">2026-07-19T13:29:30Z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