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4"/>
        <w:tblLayout w:type="fixed"/>
        <w:tblLook w:firstRow="1" w:lastRow="1" w:firstColumn="0" w:lastColumn="0" w:noHBand="0" w:noVBand="0" w:val="0020"/>
      </w:tblPr>
      <w:tblGrid>
        <w:gridCol w:w="1512"/>
        <w:gridCol w:w="1224"/>
        <w:gridCol w:w="1224"/>
        <w:gridCol w:w="1800"/>
        <w:gridCol w:w="19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GDP growth</w:t>
            </w: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GDP growth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GDP growth (wins.)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Agri. growth (wins.)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0.246</w:t>
            </w:r>
          </w:p>
        </w:tc>
        <w:tc>
          <w:tcPr/>
          <w:p>
            <w:pPr>
              <w:pStyle w:val="Compact"/>
            </w:pPr>
            <w:r>
              <w:t xml:space="preserve">0.500*</w:t>
            </w:r>
          </w:p>
        </w:tc>
        <w:tc>
          <w:tcPr/>
          <w:p>
            <w:pPr>
              <w:pStyle w:val="Compact"/>
            </w:pPr>
            <w:r>
              <w:t xml:space="preserve">1.503**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(0.245)</w:t>
            </w:r>
          </w:p>
        </w:tc>
        <w:tc>
          <w:tcPr/>
          <w:p>
            <w:pPr>
              <w:pStyle w:val="Compact"/>
            </w:pPr>
            <w:r>
              <w:t xml:space="preserve">(0.294)</w:t>
            </w:r>
          </w:p>
        </w:tc>
        <w:tc>
          <w:tcPr/>
          <w:p>
            <w:pPr>
              <w:pStyle w:val="Compact"/>
            </w:pPr>
            <w:r>
              <w:t xml:space="preserve">(0.210)</w:t>
            </w:r>
          </w:p>
        </w:tc>
        <w:tc>
          <w:tcPr/>
          <w:p>
            <w:pPr>
              <w:pStyle w:val="Compact"/>
            </w:pPr>
            <w:r>
              <w:t xml:space="preserve">(0.487)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0.478+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-1.270**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(0.282)</w:t>
            </w:r>
          </w:p>
        </w:tc>
        <w:tc>
          <w:tcPr/>
          <w:p>
            <w:pPr>
              <w:pStyle w:val="Compact"/>
            </w:pPr>
            <w:r>
              <w:t xml:space="preserve">(0.187)</w:t>
            </w:r>
          </w:p>
        </w:tc>
        <w:tc>
          <w:tcPr/>
          <w:p>
            <w:pPr>
              <w:pStyle w:val="Compact"/>
            </w:pPr>
            <w:r>
              <w:t xml:space="preserve">(0.489)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1702</w:t>
            </w:r>
          </w:p>
        </w:tc>
        <w:tc>
          <w:tcPr/>
          <w:p>
            <w:pPr>
              <w:pStyle w:val="Compact"/>
            </w:pPr>
            <w:r>
              <w:t xml:space="preserve">1653</w:t>
            </w:r>
          </w:p>
        </w:tc>
        <w:tc>
          <w:tcPr/>
          <w:p>
            <w:pPr>
              <w:pStyle w:val="Compact"/>
            </w:pPr>
            <w:r>
              <w:t xml:space="preserve">1653</w:t>
            </w:r>
          </w:p>
        </w:tc>
        <w:tc>
          <w:tcPr/>
          <w:p>
            <w:pPr>
              <w:pStyle w:val="Compact"/>
            </w:pPr>
            <w:r>
              <w:t xml:space="preserve">1457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Country and year fixed effects. SE clustered by country.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2026-07-19T13:29:32Z</dcterms:created>
  <dcterms:modified xsi:type="dcterms:W3CDTF">2026-07-19T13:29:32Z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