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3819"/>
        <w:tblLayout w:type="fixed"/>
        <w:tblLook w:firstRow="1" w:lastRow="1" w:firstColumn="0" w:lastColumn="0" w:noHBand="0" w:noVBand="0" w:val="0020"/>
      </w:tblPr>
      <w:tblGrid>
        <w:gridCol w:w="363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Temporal dependence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SPEI-12 (Dec), t-1</w:t>
            </w:r>
          </w:p>
        </w:tc>
        <w:tc>
          <w:tcPr/>
          <w:p>
            <w:pPr>
              <w:pStyle w:val="Compact"/>
            </w:pPr>
            <w:r>
              <w:t xml:space="preserve">-0.623***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(0.158)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 since last coup</w:t>
            </w:r>
          </w:p>
        </w:tc>
        <w:tc>
          <w:tcPr/>
          <w:p>
            <w:pPr>
              <w:pStyle w:val="Compact"/>
            </w:pPr>
            <w:r>
              <w:t xml:space="preserve">-0.292+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 since last coup^2 / 100</w:t>
            </w:r>
          </w:p>
        </w:tc>
        <w:tc>
          <w:tcPr/>
          <w:p>
            <w:pPr>
              <w:pStyle w:val="Compact"/>
            </w:pPr>
            <w:r>
              <w:t xml:space="preserve">1.662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(1.335)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 since last coup^3 / 1000</w:t>
            </w:r>
          </w:p>
        </w:tc>
        <w:tc>
          <w:tcPr/>
          <w:p>
            <w:pPr>
              <w:pStyle w:val="Compact"/>
            </w:pPr>
            <w:r>
              <w:t xml:space="preserve">-0.376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(0.296)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p.c. growth (wins.)</w:t>
            </w:r>
          </w:p>
        </w:tc>
        <w:tc>
          <w:tcPr/>
          <w:p>
            <w:pPr>
              <w:pStyle w:val="Compact"/>
            </w:pPr>
            <w:r>
              <w:t xml:space="preserve">-0.142***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Military expenditure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1257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-162.755</w:t>
            </w:r>
          </w:p>
        </w:tc>
      </w:tr>
      <w:tr>
        <w:tc>
          <w:tcPr>
            <w:gridSpan w:val="2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Logit. Decade dummies included. SE clustered by</w:t>
            </w:r>
            <w:r>
              <w:t xml:space="preserve"> </w:t>
            </w:r>
            <w:r>
              <w:t xml:space="preserve">country. Peace-years polynomial follows Carter &amp;</w:t>
            </w:r>
            <w:r>
              <w:t xml:space="preserve"> </w:t>
            </w:r>
            <w:r>
              <w:t xml:space="preserve">Signorino (2010).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2026-07-19T13:29:33Z</dcterms:created>
  <dcterms:modified xsi:type="dcterms:W3CDTF">2026-07-19T13:29:33Z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