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64"/>
        <w:tblLayout w:type="fixed"/>
        <w:tblLook w:firstRow="1" w:lastRow="0" w:firstColumn="0" w:lastColumn="0" w:noHBand="0" w:noVBand="0" w:val="0020"/>
      </w:tblPr>
      <w:tblGrid>
        <w:gridCol w:w="3638"/>
        <w:gridCol w:w="481"/>
        <w:gridCol w:w="802"/>
        <w:gridCol w:w="374"/>
        <w:gridCol w:w="321"/>
        <w:gridCol w:w="428"/>
        <w:gridCol w:w="481"/>
        <w:gridCol w:w="374"/>
        <w:gridCol w:w="64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Missing Pct.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Histogram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coup_attempt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spei12_dec</w:t>
            </w:r>
          </w:p>
        </w:tc>
        <w:tc>
          <w:tcPr/>
          <w:p>
            <w:pPr>
              <w:pStyle w:val="Compact"/>
            </w:pPr>
            <w:r>
              <w:t xml:space="preserve">1768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-0.3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-2.9</w:t>
            </w:r>
          </w:p>
        </w:tc>
        <w:tc>
          <w:tcPr/>
          <w:p>
            <w:pPr>
              <w:pStyle w:val="Compact"/>
            </w:pPr>
            <w:r>
              <w:t xml:space="preserve">-0.3</w:t>
            </w:r>
          </w:p>
        </w:tc>
        <w:tc>
          <w:tcPr/>
          <w:p>
            <w:pPr>
              <w:pStyle w:val="Compact"/>
            </w:pPr>
            <w:r>
              <w:t xml:space="preserve">2.9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GDP per capita growth (annual %)</w:t>
            </w:r>
          </w:p>
        </w:tc>
        <w:tc>
          <w:tcPr/>
          <w:p>
            <w:pPr>
              <w:pStyle w:val="Compact"/>
            </w:pPr>
            <w:r>
              <w:t xml:space="preserve">1737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-18.2</w:t>
            </w:r>
          </w:p>
        </w:tc>
        <w:tc>
          <w:tcPr/>
          <w:p>
            <w:pPr>
              <w:pStyle w:val="Compact"/>
            </w:pPr>
            <w:r>
              <w:t xml:space="preserve">1.7</w:t>
            </w:r>
          </w:p>
        </w:tc>
        <w:tc>
          <w:tcPr/>
          <w:p>
            <w:pPr>
              <w:pStyle w:val="Compact"/>
            </w:pPr>
            <w:r>
              <w:t xml:space="preserve">17.1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Military expenditure (% of general government expenditure)</w:t>
            </w:r>
          </w:p>
        </w:tc>
        <w:tc>
          <w:tcPr/>
          <w:p>
            <w:pPr>
              <w:pStyle w:val="Compact"/>
            </w:pPr>
            <w:r>
              <w:t xml:space="preserve">1370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6.6</w:t>
            </w:r>
          </w:p>
        </w:tc>
        <w:tc>
          <w:tcPr/>
          <w:p>
            <w:pPr>
              <w:pStyle w:val="Compact"/>
            </w:pPr>
            <w:r>
              <w:t xml:space="preserve">49.8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Agriculture, forestry, and fishing, value added (annual % growth)</w:t>
            </w:r>
          </w:p>
        </w:tc>
        <w:tc>
          <w:tcPr/>
          <w:p>
            <w:pPr>
              <w:pStyle w:val="Compact"/>
            </w:pPr>
            <w:r>
              <w:t xml:space="preserve">1530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9.4</w:t>
            </w:r>
          </w:p>
        </w:tc>
        <w:tc>
          <w:tcPr/>
          <w:p>
            <w:pPr>
              <w:pStyle w:val="Compact"/>
            </w:pPr>
            <w:r>
              <w:t xml:space="preserve">-27.5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39.4</w:t>
            </w: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2026-07-19T13:29:12Z</dcterms:created>
  <dcterms:modified xsi:type="dcterms:W3CDTF">2026-07-19T13:29:12Z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