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7"/>
        <w:tblLayout w:type="fixed"/>
        <w:tblLook w:firstRow="1" w:lastRow="1" w:firstColumn="0" w:lastColumn="0" w:noHBand="0" w:noVBand="0" w:val="0020"/>
      </w:tblPr>
      <w:tblGrid>
        <w:gridCol w:w="906"/>
        <w:gridCol w:w="785"/>
        <w:gridCol w:w="1450"/>
        <w:gridCol w:w="1269"/>
        <w:gridCol w:w="1874"/>
        <w:gridCol w:w="13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GDP growth</w:t>
            </w:r>
          </w:p>
        </w:tc>
        <w:tc>
          <w:tcPr/>
          <w:p>
            <w:pPr>
              <w:pStyle w:val="Compact"/>
            </w:pPr>
            <w:r>
              <w:t xml:space="preserve">GDP growth (with lag)</w:t>
            </w:r>
          </w:p>
        </w:tc>
        <w:tc>
          <w:tcPr/>
          <w:p>
            <w:pPr>
              <w:pStyle w:val="Compact"/>
            </w:pPr>
            <w:r>
              <w:t xml:space="preserve">GDP growth (wins.)</w:t>
            </w:r>
          </w:p>
        </w:tc>
        <w:tc>
          <w:tcPr/>
          <w:p>
            <w:pPr>
              <w:pStyle w:val="Compact"/>
            </w:pPr>
            <w:r>
              <w:t xml:space="preserve">GDP growth excl. oil (wins.)</w:t>
            </w:r>
          </w:p>
        </w:tc>
        <w:tc>
          <w:tcPr/>
          <w:p>
            <w:pPr>
              <w:pStyle w:val="Compact"/>
            </w:pPr>
            <w:r>
              <w:t xml:space="preserve">Agri. growth (wins.)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SPEI-12, t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0.501*</w:t>
            </w:r>
          </w:p>
        </w:tc>
        <w:tc>
          <w:tcPr/>
          <w:p>
            <w:pPr>
              <w:pStyle w:val="Compact"/>
            </w:pPr>
            <w:r>
              <w:t xml:space="preserve">0.380**</w:t>
            </w:r>
          </w:p>
        </w:tc>
        <w:tc>
          <w:tcPr/>
          <w:p>
            <w:pPr>
              <w:pStyle w:val="Compact"/>
            </w:pPr>
            <w:r>
              <w:t xml:space="preserve">1.579**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(0.294)</w:t>
            </w:r>
          </w:p>
        </w:tc>
        <w:tc>
          <w:tcPr/>
          <w:p>
            <w:pPr>
              <w:pStyle w:val="Compact"/>
            </w:pPr>
            <w:r>
              <w:t xml:space="preserve">(0.211)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(0.490)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SPEI-12,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0.452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-1.268**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(0.282)</w:t>
            </w:r>
          </w:p>
        </w:tc>
        <w:tc>
          <w:tcPr/>
          <w:p>
            <w:pPr>
              <w:pStyle w:val="Compact"/>
            </w:pPr>
            <w:r>
              <w:t xml:space="preserve">(0.187)</w:t>
            </w:r>
          </w:p>
        </w:tc>
        <w:tc>
          <w:tcPr/>
          <w:p>
            <w:pPr>
              <w:pStyle w:val="Compact"/>
            </w:pPr>
            <w:r>
              <w:t xml:space="preserve">(0.149)</w:t>
            </w:r>
          </w:p>
        </w:tc>
        <w:tc>
          <w:tcPr/>
          <w:p>
            <w:pPr>
              <w:pStyle w:val="Compact"/>
            </w:pPr>
            <w:r>
              <w:t xml:space="preserve">(0.472)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1700</w:t>
            </w:r>
          </w:p>
        </w:tc>
        <w:tc>
          <w:tcPr/>
          <w:p>
            <w:pPr>
              <w:pStyle w:val="Compact"/>
            </w:pPr>
            <w:r>
              <w:t xml:space="preserve">1649</w:t>
            </w:r>
          </w:p>
        </w:tc>
        <w:tc>
          <w:tcPr/>
          <w:p>
            <w:pPr>
              <w:pStyle w:val="Compact"/>
            </w:pPr>
            <w:r>
              <w:t xml:space="preserve">1649</w:t>
            </w:r>
          </w:p>
        </w:tc>
        <w:tc>
          <w:tcPr/>
          <w:p>
            <w:pPr>
              <w:pStyle w:val="Compact"/>
            </w:pPr>
            <w:r>
              <w:t xml:space="preserve">1381</w:t>
            </w:r>
          </w:p>
        </w:tc>
        <w:tc>
          <w:tcPr/>
          <w:p>
            <w:pPr>
              <w:pStyle w:val="Compact"/>
            </w:pPr>
            <w:r>
              <w:t xml:space="preserve">1453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Country and year fixed effects. SE clustered by country. Col. 4 excludes the nine major oil producers (Algeria, Angola,</w:t>
            </w:r>
            <w:r>
              <w:t xml:space="preserve"> </w:t>
            </w:r>
            <w:r>
              <w:t xml:space="preserve">Chad, the Republic of Congo, Equatorial Guinea, Gabon, Libya, Nigeria and South Sudan).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2026-09-19T20:08:21Z</dcterms:created>
  <dcterms:modified xsi:type="dcterms:W3CDTF">2026-09-19T20:08:21Z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