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778"/>
        <w:tblLayout w:type="fixed"/>
        <w:tblLook w:firstRow="1" w:lastRow="1" w:firstColumn="0" w:lastColumn="0" w:noHBand="0" w:noVBand="0" w:val="0020"/>
      </w:tblPr>
      <w:tblGrid>
        <w:gridCol w:w="286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Lags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t-1</w:t>
            </w:r>
          </w:p>
        </w:tc>
        <w:tc>
          <w:tcPr/>
          <w:p>
            <w:pPr>
              <w:pStyle w:val="Compact"/>
            </w:pPr>
            <w:r>
              <w:t xml:space="preserve">-0.622**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t-2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t-3</w:t>
            </w:r>
          </w:p>
        </w:tc>
        <w:tc>
          <w:tcPr/>
          <w:p>
            <w:pPr>
              <w:pStyle w:val="Compact"/>
            </w:pPr>
            <w:r>
              <w:t xml:space="preserve">-0.279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p.c. growth (wins.)</w:t>
            </w:r>
          </w:p>
        </w:tc>
        <w:tc>
          <w:tcPr/>
          <w:p>
            <w:pPr>
              <w:pStyle w:val="Compact"/>
            </w:pPr>
            <w:r>
              <w:t xml:space="preserve">-0.136***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expenditure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t xml:space="preserve">-163.468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t xml:space="preserve">Logit. Decade dummies included. SE</w:t>
            </w:r>
            <w:r>
              <w:t xml:space="preserve"> </w:t>
            </w:r>
            <w:r>
              <w:t xml:space="preserve">clustered by country.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2026-09-19T20:08:22Z</dcterms:created>
  <dcterms:modified xsi:type="dcterms:W3CDTF">2026-09-19T20:08:22Z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