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Style w:val="Table"/>
        <w:tblW w:type="pct" w:w="3819"/>
        <w:tblLayout w:type="fixed"/>
        <w:tblLook w:firstRow="1" w:lastRow="1" w:firstColumn="0" w:lastColumn="0" w:noHBand="0" w:noVBand="0" w:val="0020"/>
      </w:tblPr>
      <w:tblGrid>
        <w:gridCol w:w="3630"/>
        <w:gridCol w:w="242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Temporal dependence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SPEI-12 (Dec), t-1</w:t>
            </w:r>
          </w:p>
        </w:tc>
        <w:tc>
          <w:tcPr/>
          <w:p>
            <w:pPr>
              <w:pStyle w:val="Compact"/>
            </w:pPr>
            <w:r>
              <w:t xml:space="preserve">-0.623***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(0.158)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Years since last coup</w:t>
            </w:r>
          </w:p>
        </w:tc>
        <w:tc>
          <w:tcPr/>
          <w:p>
            <w:pPr>
              <w:pStyle w:val="Compact"/>
            </w:pPr>
            <w:r>
              <w:t xml:space="preserve">-0.292+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(0.165)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Years since last coup^2 / 100</w:t>
            </w:r>
          </w:p>
        </w:tc>
        <w:tc>
          <w:tcPr/>
          <w:p>
            <w:pPr>
              <w:pStyle w:val="Compact"/>
            </w:pPr>
            <w:r>
              <w:t xml:space="preserve">1.662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(1.335)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Years since last coup^3 / 1000</w:t>
            </w:r>
          </w:p>
        </w:tc>
        <w:tc>
          <w:tcPr/>
          <w:p>
            <w:pPr>
              <w:pStyle w:val="Compact"/>
            </w:pPr>
            <w:r>
              <w:t xml:space="preserve">-0.376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(0.296)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GDP p.c. growth (wins.)</w:t>
            </w:r>
          </w:p>
        </w:tc>
        <w:tc>
          <w:tcPr/>
          <w:p>
            <w:pPr>
              <w:pStyle w:val="Compact"/>
            </w:pPr>
            <w:r>
              <w:t xml:space="preserve">-0.142***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(0.031)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Military expenditure</w:t>
            </w:r>
          </w:p>
        </w:tc>
        <w:tc>
          <w:tcPr/>
          <w:p>
            <w:pPr>
              <w:pStyle w:val="Compact"/>
            </w:pPr>
            <w:r>
              <w:t xml:space="preserve">0.010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(0.018)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1257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t xml:space="preserve">-162.755</w:t>
            </w:r>
          </w:p>
        </w:tc>
      </w:tr>
      <w:tr>
        <w:tc>
          <w:tcPr>
            <w:gridSpan w:val="2"/>
          </w:tcPr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p &lt; 0.1, * p &lt; 0.05, ** p &lt; 0.01, *** p &lt; 0.001</w:t>
            </w:r>
          </w:p>
        </w:tc>
      </w:tr>
      <w:tr>
        <w:tc>
          <w:tcPr>
            <w:gridSpan w:val="2"/>
          </w:tcPr>
          <w:p>
            <w:pPr>
              <w:pStyle w:val="Compact"/>
            </w:pPr>
            <w:r>
              <w:t xml:space="preserve">Logit. Decade dummies included. SE clustered by</w:t>
            </w:r>
            <w:r>
              <w:t xml:space="preserve"> </w:t>
            </w:r>
            <w:r>
              <w:t xml:space="preserve">country. Peace-years polynomial follows Carter &amp;</w:t>
            </w:r>
            <w:r>
              <w:t xml:space="preserve"> </w:t>
            </w:r>
            <w:r>
              <w:t xml:space="preserve">Signorino (2010).</w:t>
            </w:r>
          </w:p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2026-09-19T20:08:22Z</dcterms:created>
  <dcterms:modified xsi:type="dcterms:W3CDTF">2026-09-19T20:08:22Z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