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276" w:lineRule="auto"/>
      </w:pPr>
      <w:r>
        <w:rPr>
          <w:rFonts w:ascii="Noto Sans TC" w:hAnsi="Noto Sans TC" w:eastAsia="Noto Sans TC"/>
          <w:b/>
          <w:i w:val="0"/>
          <w:color w:val="D95F82"/>
          <w:sz w:val="22"/>
        </w:rPr>
        <w:t>AIEQ｜AI 時代行為傾向測評</w:t>
      </w:r>
    </w:p>
    <w:p>
      <w:pPr>
        <w:keepNext w:val="0"/>
        <w:spacing w:before="0" w:after="80" w:line="276" w:lineRule="auto"/>
      </w:pPr>
      <w:r>
        <w:rPr>
          <w:rFonts w:ascii="Noto Sans TC" w:hAnsi="Noto Sans TC" w:eastAsia="Noto Sans TC"/>
          <w:b/>
          <w:i w:val="0"/>
          <w:color w:val="505158"/>
          <w:sz w:val="56"/>
        </w:rPr>
        <w:t>16 型動物人格設定手冊</w:t>
      </w:r>
    </w:p>
    <w:p>
      <w:pPr>
        <w:keepNext w:val="0"/>
        <w:spacing w:before="0" w:after="240" w:line="276" w:lineRule="auto"/>
      </w:pPr>
      <w:r>
        <w:rPr>
          <w:rFonts w:ascii="Noto Sans TC" w:hAnsi="Noto Sans TC" w:eastAsia="Noto Sans TC"/>
          <w:b w:val="0"/>
          <w:i w:val="0"/>
          <w:color w:val="D95F82"/>
          <w:sz w:val="28"/>
        </w:rPr>
        <w:t>企劃共創與內容優化工作本</w:t>
      </w:r>
    </w:p>
    <w:p>
      <w:pPr>
        <w:keepNext w:val="0"/>
        <w:spacing w:before="0" w:after="200" w:line="276" w:lineRule="auto"/>
      </w:pPr>
      <w:r>
        <w:rPr>
          <w:rFonts w:ascii="Noto Sans TC" w:hAnsi="Noto Sans TC" w:eastAsia="Noto Sans TC"/>
          <w:b w:val="0"/>
          <w:i w:val="0"/>
          <w:color w:val="505158"/>
          <w:sz w:val="23"/>
        </w:rPr>
        <w:t>從人格偏好出發，描述使用者在 AI 時代的自然工作方式、合作張力與成長路線。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eq-16-contact-sh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60" w:after="60" w:line="276" w:lineRule="auto"/>
      </w:pPr>
      <w:r>
        <w:rPr>
          <w:rFonts w:ascii="Noto Sans TC" w:hAnsi="Noto Sans TC" w:eastAsia="Noto Sans TC"/>
          <w:b/>
          <w:i w:val="0"/>
          <w:color w:val="D95F82"/>
          <w:sz w:val="22"/>
        </w:rPr>
        <w:t>文件定位</w:t>
      </w:r>
    </w:p>
    <w:p>
      <w:pPr>
        <w:keepNext w:val="0"/>
        <w:spacing w:before="0" w:after="160" w:line="276" w:lineRule="auto"/>
      </w:pPr>
      <w:r>
        <w:rPr>
          <w:rFonts w:ascii="Noto Sans TC" w:hAnsi="Noto Sans TC" w:eastAsia="Noto Sans TC"/>
          <w:b w:val="0"/>
          <w:i w:val="0"/>
          <w:color w:val="505158"/>
          <w:sz w:val="21"/>
        </w:rPr>
        <w:t>本文件是角色內容草案，不是官方 MBTI® 測驗、心理診斷、能力排名或人才篩選工具。動物只負責記憶與視覺辨識，不參與計分。</w:t>
      </w:r>
    </w:p>
    <w:p>
      <w:pPr>
        <w:keepNext w:val="0"/>
        <w:spacing w:before="0" w:after="80" w:line="276" w:lineRule="auto"/>
      </w:pPr>
      <w:r>
        <w:rPr>
          <w:rFonts w:ascii="Noto Sans TC" w:hAnsi="Noto Sans TC" w:eastAsia="Noto Sans TC"/>
          <w:b w:val="0"/>
          <w:i/>
          <w:color w:val="777780"/>
          <w:sz w:val="18"/>
        </w:rPr>
        <w:t>版本：0.1｜狀態：待企劃、產品、測評與使用者研究共同審閱｜日期：2026-08-23</w:t>
      </w:r>
    </w:p>
    <w:p>
      <w:r>
        <w:br w:type="page"/>
      </w:r>
    </w:p>
    <w:p>
      <w:pPr>
        <w:pStyle w:val="Heading1"/>
      </w:pPr>
      <w:r>
        <w:t>怎麼使用這本手冊</w:t>
      </w:r>
    </w:p>
    <w:p>
      <w:pPr>
        <w:keepNext w:val="0"/>
        <w:spacing w:before="0" w:after="180" w:line="276" w:lineRule="auto"/>
      </w:pPr>
      <w:r>
        <w:rPr>
          <w:rFonts w:ascii="Noto Sans TC" w:hAnsi="Noto Sans TC" w:eastAsia="Noto Sans TC"/>
          <w:b/>
          <w:i w:val="0"/>
          <w:color w:val="505158"/>
          <w:sz w:val="23"/>
        </w:rPr>
        <w:t>這不是把 16 型寫成 16 種命運，而是建立一套可被企劃持續測試、修正與版本化的內容語言。</w:t>
      </w:r>
    </w:p>
    <w:p>
      <w:pPr>
        <w:pStyle w:val="Heading2"/>
      </w:pPr>
      <w:r>
        <w:t>不可改動的產品護欄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四組人格偏好只描述自然傾向，不代表智力、績效、道德、職級或 AI 生存能力高低。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六項 AIEQ 能力（AI 協作、轉型速度、模糊容忍、主動性、驗證能力、持續學習）必須另外計算；同一類型可以有完全不同的能力輪廓。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每一型都必須同時有優勢、盲點與可行成長路線，不使用稀有度、戰力、排行、錄取或淘汰敘事。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禁止把 E 寫成比較會領導、I 寫成不善社交、T 寫成冷血、F 寫成不理性、J 寫成有能力、P 寫成散漫。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AIEQ 結果只有在使用者確認後才成為目前有效結果；不得用角色文案誘導使用者反覆測到喜歡的類型。</w:t>
      </w:r>
    </w:p>
    <w:p>
      <w:pPr>
        <w:pStyle w:val="Heading2"/>
      </w:pPr>
      <w:r>
        <w:t>企劃共創流程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836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505158"/>
          </w:tcPr>
          <w:p>
            <w:r>
              <w:rPr>
                <w:rFonts w:ascii="Noto Sans TC" w:hAnsi="Noto Sans TC" w:eastAsia="Noto Sans TC"/>
                <w:b/>
                <w:i w:val="0"/>
                <w:color w:val="FFFFFF"/>
                <w:sz w:val="19"/>
              </w:rPr>
              <w:t>階段</w:t>
            </w:r>
          </w:p>
        </w:tc>
        <w:tc>
          <w:tcPr>
            <w:tcW w:type="dxa" w:w="7836"/>
            <w:tcMar>
              <w:top w:w="90" w:type="dxa"/>
              <w:start w:w="120" w:type="dxa"/>
              <w:bottom w:w="90" w:type="dxa"/>
              <w:end w:w="120" w:type="dxa"/>
            </w:tcMar>
            <w:shd w:fill="505158"/>
          </w:tcPr>
          <w:p>
            <w:r>
              <w:rPr>
                <w:rFonts w:ascii="Noto Sans TC" w:hAnsi="Noto Sans TC" w:eastAsia="Noto Sans TC"/>
                <w:b/>
                <w:i w:val="0"/>
                <w:color w:val="FFFFFF"/>
                <w:sz w:val="19"/>
              </w:rPr>
              <w:t>共同責任</w:t>
            </w:r>
          </w:p>
        </w:tc>
      </w:tr>
      <w:tr>
        <w:tc>
          <w:tcPr>
            <w:tcW w:type="dxa" w:w="2100"/>
            <w:shd w:fill="F8E9EE"/>
          </w:tcPr>
          <w:p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1｜內容初稿</w:t>
            </w:r>
          </w:p>
        </w:tc>
        <w:tc>
          <w:tcPr>
            <w:tcW w:type="dxa" w:w="7836"/>
          </w:tcPr>
          <w:p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產品與測評先鎖定護欄、偏好定義與不可推論範圍。</w:t>
            </w:r>
          </w:p>
        </w:tc>
      </w:tr>
      <w:tr>
        <w:tc>
          <w:tcPr>
            <w:tcW w:type="dxa" w:w="2100"/>
            <w:shd w:fill="F8E9EE"/>
          </w:tcPr>
          <w:p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2｜企劃優化</w:t>
            </w:r>
          </w:p>
        </w:tc>
        <w:tc>
          <w:tcPr>
            <w:tcW w:type="dxa" w:w="7836"/>
          </w:tcPr>
          <w:p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企劃調整對外名稱、敘事張力、情境、語氣與分享性，但不能改變計分或製造階級。</w:t>
            </w:r>
          </w:p>
        </w:tc>
      </w:tr>
      <w:tr>
        <w:tc>
          <w:tcPr>
            <w:tcW w:type="dxa" w:w="2100"/>
            <w:shd w:fill="F8E9EE"/>
          </w:tcPr>
          <w:p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3｜認知訪談</w:t>
            </w:r>
          </w:p>
        </w:tc>
        <w:tc>
          <w:tcPr>
            <w:tcW w:type="dxa" w:w="7836"/>
          </w:tcPr>
          <w:p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每型至少訪談 3 位符合傾向者，檢查是否『被看見』而非『被限制』。</w:t>
            </w:r>
          </w:p>
        </w:tc>
      </w:tr>
      <w:tr>
        <w:tc>
          <w:tcPr>
            <w:tcW w:type="dxa" w:w="2100"/>
            <w:shd w:fill="F8E9EE"/>
          </w:tcPr>
          <w:p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4｜偏誤審查</w:t>
            </w:r>
          </w:p>
        </w:tc>
        <w:tc>
          <w:tcPr>
            <w:tcW w:type="dxa" w:w="7836"/>
          </w:tcPr>
          <w:p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產品、測評與 DEI／倫理視角共同檢查性別、職業、內外向與能力偏見。</w:t>
            </w:r>
          </w:p>
        </w:tc>
      </w:tr>
      <w:tr>
        <w:tc>
          <w:tcPr>
            <w:tcW w:type="dxa" w:w="2100"/>
            <w:shd w:fill="F8E9EE"/>
          </w:tcPr>
          <w:p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5｜版本核准</w:t>
            </w:r>
          </w:p>
        </w:tc>
        <w:tc>
          <w:tcPr>
            <w:tcW w:type="dxa" w:w="7836"/>
          </w:tcPr>
          <w:p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每次改版保留修改理由、證據、核准人與生效版本，不直接覆蓋歷史文案。</w:t>
            </w:r>
          </w:p>
        </w:tc>
      </w:tr>
    </w:tbl>
    <w:p>
      <w:pPr>
        <w:keepNext w:val="0"/>
        <w:spacing w:before="180" w:after="80" w:line="276" w:lineRule="auto"/>
      </w:pPr>
      <w:r>
        <w:rPr>
          <w:rFonts w:ascii="Noto Sans TC" w:hAnsi="Noto Sans TC" w:eastAsia="Noto Sans TC"/>
          <w:b w:val="0"/>
          <w:i/>
          <w:color w:val="777780"/>
          <w:sz w:val="19"/>
        </w:rPr>
        <w:t>固定定位文字：AIEQ 是參考四組人格偏好的 AI 時代行為傾向測評，非心理診斷，也不是官方 MBTI® 測驗。</w:t>
      </w:r>
    </w:p>
    <w:p>
      <w:r>
        <w:br w:type="page"/>
      </w:r>
    </w:p>
    <w:p>
      <w:pPr>
        <w:pStyle w:val="Heading1"/>
      </w:pPr>
      <w:r>
        <w:t>16 型快速索引</w:t>
      </w:r>
    </w:p>
    <w:p>
      <w:pPr>
        <w:keepNext w:val="0"/>
        <w:spacing w:before="0" w:after="200" w:line="276" w:lineRule="auto"/>
      </w:pPr>
      <w:r>
        <w:rPr>
          <w:rFonts w:ascii="Noto Sans TC" w:hAnsi="Noto Sans TC" w:eastAsia="Noto Sans TC"/>
          <w:b w:val="0"/>
          <w:i/>
          <w:color w:val="777780"/>
          <w:sz w:val="21"/>
        </w:rPr>
        <w:t>四大族群只協助閱讀與內容編排，不是四種能力等級。</w:t>
      </w:r>
    </w:p>
    <w:p>
      <w:pPr>
        <w:keepNext/>
        <w:spacing w:before="160" w:after="60" w:line="240" w:lineRule="auto"/>
      </w:pPr>
      <w:r>
        <w:rPr>
          <w:rFonts w:ascii="Noto Sans TC" w:hAnsi="Noto Sans TC" w:eastAsia="Noto Sans TC"/>
          <w:b/>
          <w:i w:val="0"/>
          <w:color w:val="D95F82"/>
          <w:sz w:val="26"/>
        </w:rPr>
        <w:t>可靠營運族 SJ</w:t>
      </w:r>
      <w:r>
        <w:rPr>
          <w:rFonts w:ascii="Noto Sans TC" w:hAnsi="Noto Sans TC" w:eastAsia="Noto Sans TC"/>
          <w:b w:val="0"/>
          <w:i w:val="0"/>
          <w:color w:val="777780"/>
          <w:sz w:val="20"/>
        </w:rPr>
        <w:t xml:space="preserve">　把改變變成可持續的秩序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ISTJ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河狸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ISFJ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企鵝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ESTJ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牧羊犬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ESFJ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蜜蜂</w:t>
            </w:r>
          </w:p>
        </w:tc>
      </w:tr>
    </w:tbl>
    <w:p>
      <w:pPr>
        <w:keepNext/>
        <w:spacing w:before="160" w:after="60" w:line="240" w:lineRule="auto"/>
      </w:pPr>
      <w:r>
        <w:rPr>
          <w:rFonts w:ascii="Noto Sans TC" w:hAnsi="Noto Sans TC" w:eastAsia="Noto Sans TC"/>
          <w:b/>
          <w:i w:val="0"/>
          <w:color w:val="D95F82"/>
          <w:sz w:val="26"/>
        </w:rPr>
        <w:t>敏捷實作族 SP</w:t>
      </w:r>
      <w:r>
        <w:rPr>
          <w:rFonts w:ascii="Noto Sans TC" w:hAnsi="Noto Sans TC" w:eastAsia="Noto Sans TC"/>
          <w:b w:val="0"/>
          <w:i w:val="0"/>
          <w:color w:val="777780"/>
          <w:sz w:val="20"/>
        </w:rPr>
        <w:t xml:space="preserve">　用現場回饋快速調整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ISTP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貓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ISFP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小熊貓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ESTP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獵豹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ESFP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鸚鵡</w:t>
            </w:r>
          </w:p>
        </w:tc>
      </w:tr>
    </w:tbl>
    <w:p>
      <w:pPr>
        <w:keepNext/>
        <w:spacing w:before="160" w:after="60" w:line="240" w:lineRule="auto"/>
      </w:pPr>
      <w:r>
        <w:rPr>
          <w:rFonts w:ascii="Noto Sans TC" w:hAnsi="Noto Sans TC" w:eastAsia="Noto Sans TC"/>
          <w:b/>
          <w:i w:val="0"/>
          <w:color w:val="D95F82"/>
          <w:sz w:val="26"/>
        </w:rPr>
        <w:t>人本連結族 NF</w:t>
      </w:r>
      <w:r>
        <w:rPr>
          <w:rFonts w:ascii="Noto Sans TC" w:hAnsi="Noto Sans TC" w:eastAsia="Noto Sans TC"/>
          <w:b w:val="0"/>
          <w:i w:val="0"/>
          <w:color w:val="777780"/>
          <w:sz w:val="20"/>
        </w:rPr>
        <w:t xml:space="preserve">　讓技術與意義、關係相連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INFJ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大象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INFP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鹿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ENFJ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海豚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ENFP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水獺</w:t>
            </w:r>
          </w:p>
        </w:tc>
      </w:tr>
    </w:tbl>
    <w:p>
      <w:pPr>
        <w:keepNext/>
        <w:spacing w:before="160" w:after="60" w:line="240" w:lineRule="auto"/>
      </w:pPr>
      <w:r>
        <w:rPr>
          <w:rFonts w:ascii="Noto Sans TC" w:hAnsi="Noto Sans TC" w:eastAsia="Noto Sans TC"/>
          <w:b/>
          <w:i w:val="0"/>
          <w:color w:val="D95F82"/>
          <w:sz w:val="26"/>
        </w:rPr>
        <w:t>洞察建構族 NT</w:t>
      </w:r>
      <w:r>
        <w:rPr>
          <w:rFonts w:ascii="Noto Sans TC" w:hAnsi="Noto Sans TC" w:eastAsia="Noto Sans TC"/>
          <w:b w:val="0"/>
          <w:i w:val="0"/>
          <w:color w:val="777780"/>
          <w:sz w:val="20"/>
        </w:rPr>
        <w:t xml:space="preserve">　用模型與系統重組可能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INTJ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貓頭鷹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INTP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章魚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ENTJ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虎鯨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7F4F2"/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22"/>
              </w:rPr>
              <w:t>ENTP</w:t>
            </w:r>
            <w:r>
              <w:rPr>
                <w:rFonts w:ascii="Noto Sans TC" w:hAnsi="Noto Sans TC" w:eastAsia="Noto Sans TC"/>
                <w:b/>
                <w:i w:val="0"/>
                <w:color w:val="505158"/>
                <w:sz w:val="21"/>
              </w:rPr>
              <w:br/>
              <w:t>烏鴉</w:t>
            </w:r>
          </w:p>
        </w:tc>
      </w:tr>
    </w:tbl>
    <w:p>
      <w:pPr>
        <w:pStyle w:val="Heading2"/>
      </w:pPr>
      <w:r>
        <w:t>閱讀一型時，企劃要檢查什麼？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使用者能否在具體工作場景中認出自己，而不是只看到抽象形容詞？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優勢是否有條件與邊界，盲點是否沒有羞辱或標籤化？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成長建議是否可以行動，而不是叫使用者『變成另一型』？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動物比喻是否幫助記憶，而沒有偷渡物種刻板印象？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可靠營運族 SJ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ISTJ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｜河狸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把可靠流程一塊一塊築起來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tj-beav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I／S／T／J：較常先在內部整理，以具體證據與一致原則判斷，偏好清楚結構與可追蹤進度。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讓工作可預測、可交接、可驗證；在混亂中建立穩固的作業基礎。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適合資料治理、品質檢核、權限與流程設計、模型輸出稽核，以及把 AI 試驗變成可長期運作的標準。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可能因既有流程曾經有效而延後更新；在資訊不足時，容易把準備做得太完整才願意起步。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給明確目標、責任與驗收標準；邀請他建立基準線與風險清單，再安排小範圍試驗。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每季挑一個低風險環節，以新工具和原流程做對照測試；用證據決定保留、改版或淘汰。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沉穩、具體、先結論後步驟；肯定其可靠性，但避免把他寫成僵化守舊。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AI 導入檢核、資料品質、營運復盤、知識交接。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老派、僵化、只會照規則、抗拒科技。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可靠營運族 SJ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ISFJ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｜企鵝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讓新工具真正被身邊的人安心使用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fj-pengu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I／S／F／J：較常安靜觀察具體需求，以人際影響與照顧責任判斷，偏好穩定節奏。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保護團隊運作與個人感受，讓改變不以犧牲使用者安全感為代價。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能發現導入細節、使用障礙與被忽略的人；適合教育訓練、知識整理、客服流程與採用支持。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可能默默承擔過多補位工作，或為避免造成別人壓力而延後提出風險與不同意見。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先說明改變會如何幫助具體的人，提供清楚步驟與回饋窗口；不要用競賽和淘汰刺激採用。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練習把隱性照顧工作寫成可見流程，並為自己設定停止補位、升級風險的明確界線。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溫和、可靠、重視細節與關係；避免寫成沒有主見或只會服務別人。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使用者上手、內部培訓、客訴整理、知識庫維護。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討好型、犧牲型、害怕改變、沒有決策力。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人本連結族 NF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INFJ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｜大象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看見技術改變背後更長遠的人性影響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j-elephan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I／N／F／J：較常從內在形成長期圖像，以意義與人際價值判斷，偏好把方向逐步收斂。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讓 AI 的使用符合長期價值，並減少技術決策對人的隱性傷害。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擅長串連趨勢、文化與人性訊號；適合倫理框架、未來情境、品牌意義及深度使用者洞察。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可能過早相信自己看見的深層模式，或把理想與責任留在心裡，直到過度耗損才表達。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給足獨立思考時間，再用具體案例檢查其洞察；讓價值主張落到可測試的行為與指標。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將每個長期洞察配上一個反例、一個短期實驗與一項可被否證的觀察。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安靜、有洞察、兼顧理想與現實；避免神秘先知、讀心者或道德高位。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AI 倫理、品牌定位、組織轉型、長期使用者影響。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預言家、救世主、過度神秘、比別人更高尚。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洞察建構族 NT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INTJ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｜貓頭鷹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先看整個系統，再決定哪裡值得自動化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j-ow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I／N／T／J：較常獨立建構模式，以邏輯與系統效益判斷，偏好明確方向與長期架構。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找到高槓桿結構，讓資源投在可擴張、可演進而不是只解眼前症狀的方案。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 AI 架構、產品策略、流程重設、決策模型與長期技術路線；能識別局部最佳化。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可能低估溝通、採用與情緒成本，也可能在實際證據不足時過早相信設計出的系統。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提出值得解的問題與限制條件，讓他擁有架構空間；同時安排真實使用者與營運現場驗證。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每個策略方案都加入採用阻力、倫理風險與最早可觀察訊號，避免只在模型內成立。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精準、克制、長期導向；避免冷酷天才、全知全能或不需要他人。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AI 產品策略、系統架構、資源配置、流程重構。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孤傲天才、冷血、操控者、永遠正確。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敏捷實作族 SP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ISTP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｜貓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先碰到真實問題，再用最短路徑拆解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tp-ca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I／S／T／P：較常獨立觀察現場，以實際機制和邏輯判斷，保留彈性直到看見有效解法。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理解事情怎麼運作，快速排除故障，不把力氣花在沒有實際作用的形式上。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擅長除錯、工具評測、原型修復與例外處理；在壓力現場能冷靜找到可行的下一步。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可能把關鍵判斷留在腦中，缺少文件與同步；也可能在問題解掉後忽略長期維護。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給具體問題、操作權和清楚邊界；讓他先實作，再要求留下最小必要的原理、步驟與風險紀錄。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建立『修完即記』習慣：原因、修法、驗證與再發預防各留一句，累積可重用知識。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冷靜、俐落、帶一點自主感；避免懶散、孤僻或只會救火。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模型除錯、工具串接、現場故障、快速技術評估。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懶貓、獨行俠、不溝通、沒有責任感。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敏捷實作族 SP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ISFP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｜小熊貓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用細膩感受，讓 AI 體驗不失去人的質地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fp-red-pand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I／S／F／P：較常依真實感受與當下細節判斷，重視個人價值，同時保留自然調整空間。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做出真誠、舒服且尊重差異的體驗，不讓效率犧牲人的自主與感受。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能感知介面、語氣、品牌與服務中的細微不協調；適合體驗設計、內容質感和倫理敏感點。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可能避免過度結構化與公開衝突，導致好判斷沒有被系統化，也不易為自己的價值主張爭取資源。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提供實際素材與體驗原型，用看得見、摸得到的版本討論；讓其有選擇與調整空間。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把『感覺不對』轉成三項可觀察準則，並練習在早期就說明使用者可能受到的影響。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細膩、真誠、有審美自主性；避免軟弱、害羞、可愛花瓶。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語氣設計、介面體驗、品牌內容、使用者尊重與選擇。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玻璃心、只重美感、逃避問題、沒有商業判斷。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人本連結族 NF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INFP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｜鹿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守住真實價值，也替新可能保留空間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p-de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I／N／F／P：較常由內在價值出發探索可能性，重視真誠與個別差異，不急著封閉答案。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確保 AI 服務人的真實需要，而不是把人壓進單一效率標準。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擅長價值敘事、同理洞察、文化感知與非典型需求；能提醒團隊什麼不該被自動化。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可能因想保留完整性而延後交付，或在衝突中退回內在世界，使重要價值沒有進入決策。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先確認使命和受影響的人，再邀請提出多種可能；用小作品取代一次完成的完美壓力。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採用『價值不妥協、形式可迭代』：先交可討論草案，再逐步提升完整度。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真誠、富想像、溫柔但有原則；避免脆弱夢想家、不食人間煙火。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品牌敘事、倫理倡議、非典型使用者、文化與內容策略。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玻璃心、空想家、不能落地、只談理想。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洞察建構族 NT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INTP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｜章魚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同時伸向多個假設，找到真正的運作原理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p-octopu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I／N／T／P：較常獨立探索多種模型，以邏輯一致性判斷，保留假設直到取得更好解釋。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理解複雜系統的底層規則，發現既有分類沒有看見的連結與例外。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適合模型研究、評測設計、知識架構、提示實驗與新方法探索；能快速拆穿不一致的假設。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可能持續增加可能性而延後決策，或對已經足夠可用的方案反覆重構。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給清楚問題和探索邊界，允許挑戰假設；同時設定決策日期與最小可交付證據。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每次探索先寫停止條件：要回答什麼、需要多少證據、何時輸出第一版。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好奇、理性、允許修正；避免怪咖天才、拖延者或只會抬槓。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模型評測、研究原型、知識圖譜、複雜問題拆解。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書呆子、社交無能、永遠不交付、故意唱反調。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敏捷實作族 SP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ESTP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｜獵豹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快速進場，用真實回饋決定下一步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p-cheetah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E／S／T／P：較常透過互動與現場資訊行動，以實際結果和邏輯判斷，快速調整路線。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抓住眼前機會，迅速驗證有沒有用，不讓團隊停在抽象討論。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適合市場試驗、即時決策、銷售應用、危機應對與快速原型；能讓 AI 從簡報進入現場。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可能把速度當成充分證據，低估資料品質、長期成本與少數但嚴重的風險。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給明確目標、可行動資源與快速回饋；在試驗前先鎖定風險紅線和成功判準。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維持快節奏，但固定加入三個閘門：來源查證、最壞情境、可逆退出。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直接、有動能、務實；避免冒險莽夫、只求刺激或無視規則。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銷售現場、快速試點、危機處理、即時市場回饋。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衝動、投機、愛出風頭、不顧後果。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敏捷實作族 SP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ESFP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｜鸚鵡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把新科技翻成大家願意靠近的體驗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fp-parro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E／S／F／P：較常從互動和現場反應獲得能量，以人的感受判斷，依回饋靈活調整。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讓工具變得親近、好懂、可參與，創造立即看得見的正向體驗。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適合產品展示、社群互動、活動體驗、客戶溝通與採用推廣；能快速察覺現場氣氛。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可能追逐新鮮感與即時掌聲，忽略後台流程、資料驗證與長期一致性。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讓他接觸真實使用者並即時示範；搭配一位負責紀錄、驗證與後續交付的夥伴。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每次亮眼體驗後完成一張『後台清單』：資料、權限、承諾、追蹤與維護。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活潑、親近、重視現場；避免吵鬧、膚淺、只會表演。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Demo、活動體驗、社群內容、客戶採用與教育。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話多、愛現、娛樂咖、缺乏深度。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人本連結族 NF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ENFP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｜水獺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把人、點子與可能性連成新的路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fp-ott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E／N／F／P：較常透過交流擴展可能性，以價值和人際影響判斷，喜歡保留多條探索路徑。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發現跨領域的新連結，讓不同的人看見自己可以參與的未來。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適合創新工作坊、跨部門共創、概念發想、社群動員與早期產品敘事。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可能同時啟動太多方向，低估收斂、維護與重複工作的成本。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先給探索空間，再共同選出一個最值得驗證的承諾；安排明確的下一步、負責人與截止點。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採用『一進一出』：每新增一個方向，就必須暫停、合併或完成另一個方向。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有感染力、開放、能看見他人；避免散漫樂天派或永遠開新坑。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創新共創、跨域合作、社群倡議、早期產品故事。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三分鐘熱度、過度樂觀、只會發想、不負責收尾。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洞察建構族 NT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ENTP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｜烏鴉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拆掉理所當然，再重組出更好的可能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tp-crow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E／N／T／P：較常在對話中生成新假設，以邏輯與可辯證性判斷，喜歡保持選項開放。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挑戰過時假設，把不同工具、觀點與商業模式重新組合。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適合創新策略、紅隊挑戰、商業模式、提示實驗與競品反推；能快速找到規則漏洞。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可能把挑戰本身當成進展，提出破壞性觀點後沒有承擔落地與善後。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明確區分發散與決策時段；允許質疑，但要求每個反對意見帶一個替代方案與驗證方法。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選一個最有價值的挑戰親自負責到結果，練習從『提出可能』走到『承擔後果』。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機敏、好奇、帶建設性挑戰；避免嘴砲、詭辯、搗亂者。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紅隊評估、創新策略、商模設計、競品與規則分析。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槓精、投機、只拆不建、故意冒犯。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可靠營運族 SJ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ESTJ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｜牧羊犬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把方向、責任與節奏帶到可交付結果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j-sheepdo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E／S／T／J：較常透過協調外部資源推進，以具體事實與一致原則判斷，偏好明確計畫。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讓團隊知道要做什麼、誰負責、何時完成，並把試驗轉成穩定產能。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 AI 導入管理、標準作業、跨部門排程、績效追蹤與規模化營運。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可能太快標準化尚未成熟的做法，或把不同步理解為不配合，壓縮探索與回饋空間。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給可量化目標與決策權限；在排程中保留試驗區，並要求先聽完異常與前線證據再定規則。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把『照計畫』升級成『照證據調整計畫』，每個里程碑都保留修正條件。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果斷、負責、重視公平執行；避免控制狂、官僚或只看 KPI。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導入專案、跨部門執行、SOP、資源與時程管理。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霸道主管、官僚、只會命令、反對創新。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可靠營運族 SJ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ESFJ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｜蜜蜂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把分散的人帶進可持續的合作網絡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fj-be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E／S／F／J：較常透過互動掌握具體需求，以關係與共同責任判斷，偏好清楚安排。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讓每個人知道自己如何參與，維持合作節奏與團隊安全感。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適合採用推廣、社群營運、教育訓練、服務流程與跨角色協調；能讓制度被人真正使用。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可能過度追求共識，承擔大量情緒勞動，或對不受歡迎但必要的決策感到為難。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讓他看見受影響的人與合作關係，提供可執行節奏；同時明確哪些決策不需要全員同意。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區分『需要被聽見』與『需要一致同意』，用透明原則處理衝突，而不是無限協調。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熱心、協調、可靠；避免討好、八面玲瓏或只在意大家喜歡。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教育訓練、社群營運、採用計畫、服務與跨角色協調。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討好型、愛管閒事、害怕衝突、只求和氣。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人本連結族 NF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ENFJ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｜海豚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讓每個人在改變裡看見自己的成長位置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fj-dolphi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E／N／F／J：較常透過互動形成共同願景，以人的發展與價值判斷，偏好把方向組織起來。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讓轉型不只是換工具，而是協助人理解意義、建立信心並共同前進。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適合變革溝通、領導培育、教練、文化設計與利害關係人對齊。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可能過度介入他人成長，替團隊承擔動機問題，或把表面認同誤認為真正承諾。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讓他主持意義與對齊，但用具體行為、資源投入與成果證據檢查承諾是否成立。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從『我來帶動大家』轉成『建立讓大家自行承擔的機制』，保留界線與退出空間。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有鼓舞力、尊重他人主體；避免心靈導師、救世主或情緒操控。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組織轉型、領導教練、文化溝通、利害關係人對齊。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說教、情勒、過度熱心、替別人決定成長。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tbl>
      <w:tblPr>
        <w:tblW w:type="dxa" w:w="9936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100"/>
        <w:gridCol w:w="2836"/>
      </w:tblGrid>
      <w:tr>
        <w:tc>
          <w:tcPr>
            <w:tcW w:type="dxa" w:w="7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洞察建構族 NT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50"/>
              </w:rPr>
              <w:t>ENTJ</w:t>
            </w:r>
            <w:r>
              <w:rPr>
                <w:rFonts w:ascii="Noto Sans TC" w:hAnsi="Noto Sans TC" w:eastAsia="Noto Sans TC"/>
                <w:b/>
                <w:i w:val="0"/>
                <w:color w:val="D95F82"/>
                <w:sz w:val="38"/>
              </w:rPr>
              <w:t>｜虎鯨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Noto Sans TC" w:hAnsi="Noto Sans TC" w:eastAsia="Noto Sans TC"/>
                <w:b/>
                <w:i w:val="0"/>
                <w:color w:val="505158"/>
                <w:sz w:val="23"/>
              </w:rPr>
              <w:t>把轉型方向變成資源、節奏與規模</w:t>
            </w:r>
          </w:p>
        </w:tc>
        <w:tc>
          <w:tcPr>
            <w:tcW w:type="dxa" w:w="28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61288" cy="11612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tj-orc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1161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 w:line="264" w:lineRule="auto"/>
      </w:pPr>
      <w:r>
        <w:rPr>
          <w:rFonts w:ascii="Noto Sans TC" w:hAnsi="Noto Sans TC" w:eastAsia="Noto Sans TC"/>
          <w:b/>
          <w:i w:val="0"/>
          <w:color w:val="D95F82"/>
          <w:sz w:val="19"/>
        </w:rPr>
        <w:t xml:space="preserve">偏好傾向　</w:t>
      </w:r>
      <w:r>
        <w:rPr>
          <w:rFonts w:ascii="Noto Sans TC" w:hAnsi="Noto Sans TC" w:eastAsia="Noto Sans TC"/>
          <w:b w:val="0"/>
          <w:i w:val="0"/>
          <w:color w:val="505158"/>
          <w:sz w:val="19"/>
        </w:rPr>
        <w:t>E／N／T／J：較常向外組織資源與方向，以系統效益和原則判斷，偏好快速收斂並推動。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986"/>
      </w:tblGrid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核心驅動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建立清楚的競爭方向，把人才、資本和技術集中到能產生規模影響的位置。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AI 時代優勢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適合企業 AI 策略、投資優先序、組織重整、商業化與跨單位轉型治理。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壓力盲點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可能用速度壓過採用、倫理與弱訊號，低估被改變者的理解成本與執行現實。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合作方式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提供全局目標與決策範圍；安排獨立反方、前線代表與停止條件，避免資訊只向上報喜。</w:t>
            </w:r>
          </w:p>
        </w:tc>
      </w:tr>
      <w:tr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9EE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/>
                <w:i w:val="0"/>
                <w:color w:val="D95F82"/>
                <w:sz w:val="19"/>
              </w:rPr>
              <w:t>成長路線</w:t>
            </w:r>
          </w:p>
        </w:tc>
        <w:tc>
          <w:tcPr>
            <w:tcW w:type="dxa" w:w="7986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9"/>
              </w:rPr>
              <w:t>重大推進前完成三方檢查：受益者、承擔風險者、負責善後者；讓權力與責任成對。</w:t>
            </w:r>
          </w:p>
        </w:tc>
      </w:tr>
    </w:tbl>
    <w:p>
      <w:pPr>
        <w:pStyle w:val="Heading2"/>
      </w:pPr>
      <w:r>
        <w:t>企劃設定建議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角色語氣｜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有方向、承擔結果、重視規模；避免帝王、掠食者、唯成功論。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代表場景｜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企業 AI 策略、投資排序、組織轉型、規模化商業。</w:t>
      </w:r>
    </w:p>
    <w:p>
      <w:pPr>
        <w:keepNext w:val="0"/>
        <w:spacing w:before="0" w:after="40" w:line="259" w:lineRule="auto"/>
      </w:pPr>
      <w:r>
        <w:rPr>
          <w:rFonts w:ascii="Noto Sans TC" w:hAnsi="Noto Sans TC" w:eastAsia="Noto Sans TC"/>
          <w:b/>
          <w:i w:val="0"/>
          <w:color w:val="D95F82"/>
          <w:sz w:val="18"/>
        </w:rPr>
        <w:t>禁止標籤｜</w:t>
      </w:r>
      <w:r>
        <w:rPr>
          <w:rFonts w:ascii="Noto Sans TC" w:hAnsi="Noto Sans TC" w:eastAsia="Noto Sans TC"/>
          <w:b w:val="0"/>
          <w:i w:val="0"/>
          <w:color w:val="505158"/>
          <w:sz w:val="18"/>
        </w:rPr>
        <w:t>霸主、掠奪者、權力至上、不顧人的成功機器。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8"/>
        <w:gridCol w:w="4968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企劃判定：□ 保留　□ 微調　□ 重寫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張力檢查：□ 平衡　□ 過度正向　□ 過度負向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待驗證情境：________________________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F0F0F2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6"/>
              </w:rPr>
              <w:t>企劃／測評共同備註：__________________</w:t>
            </w:r>
          </w:p>
        </w:tc>
      </w:tr>
    </w:tbl>
    <w:p>
      <w:pPr>
        <w:keepNext w:val="0"/>
        <w:spacing w:before="80" w:after="0" w:line="276" w:lineRule="auto"/>
      </w:pPr>
      <w:r>
        <w:rPr>
          <w:rFonts w:ascii="Noto Sans TC" w:hAnsi="Noto Sans TC" w:eastAsia="Noto Sans TC"/>
          <w:b w:val="0"/>
          <w:i/>
          <w:color w:val="777780"/>
          <w:sz w:val="17"/>
        </w:rPr>
        <w:t>提醒：本頁描述的是偏好敘事，不等於六項 AIEQ 能力分數。</w:t>
      </w:r>
    </w:p>
    <w:p>
      <w:r>
        <w:br w:type="page"/>
      </w:r>
    </w:p>
    <w:p>
      <w:pPr>
        <w:pStyle w:val="Heading1"/>
      </w:pPr>
      <w:r>
        <w:t>跨角色一致性與企劃核准</w:t>
      </w:r>
    </w:p>
    <w:p>
      <w:pPr>
        <w:keepNext w:val="0"/>
        <w:spacing w:before="0" w:after="200" w:line="276" w:lineRule="auto"/>
      </w:pPr>
      <w:r>
        <w:rPr>
          <w:rFonts w:ascii="Noto Sans TC" w:hAnsi="Noto Sans TC" w:eastAsia="Noto Sans TC"/>
          <w:b/>
          <w:i w:val="0"/>
          <w:color w:val="505158"/>
          <w:sz w:val="21"/>
        </w:rPr>
        <w:t>企劃可以優化可讀性、記憶點與情緒張力；產品與測評負責守住推論邊界。以下項目全部通過後，文案才可進入 LINE、LIFF 或分享卡。</w:t>
      </w:r>
    </w:p>
    <w:p>
      <w:pPr>
        <w:pStyle w:val="Heading2"/>
      </w:pPr>
      <w:r>
        <w:t>全套內容驗收清單</w:t>
      </w:r>
    </w:p>
    <w:p>
      <w:pPr>
        <w:keepNext w:val="0"/>
        <w:spacing w:before="0" w:after="100" w:line="276" w:lineRule="auto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□ 16 型都具有同等尊嚴與視覺地位，沒有英雄型、配角型或淘汰型。</w:t>
      </w:r>
    </w:p>
    <w:p>
      <w:pPr>
        <w:keepNext w:val="0"/>
        <w:spacing w:before="0" w:after="100" w:line="276" w:lineRule="auto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□ 每型都有一項自然優勢、一項真實盲點與一條可執行成長路線。</w:t>
      </w:r>
    </w:p>
    <w:p>
      <w:pPr>
        <w:keepNext w:val="0"/>
        <w:spacing w:before="0" w:after="100" w:line="276" w:lineRule="auto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□ 沒有把人格類型直接寫成六項 AIEQ 能力的高低。</w:t>
      </w:r>
    </w:p>
    <w:p>
      <w:pPr>
        <w:keepNext w:val="0"/>
        <w:spacing w:before="0" w:after="100" w:line="276" w:lineRule="auto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□ 沒有性別、年齡、職業、階級、內外向或理性／感性的歧視暗示。</w:t>
      </w:r>
    </w:p>
    <w:p>
      <w:pPr>
        <w:keepNext w:val="0"/>
        <w:spacing w:before="0" w:after="100" w:line="276" w:lineRule="auto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□ 所有『代表場景』都有真實使用者語言或訪談證據，而非企劃想像。</w:t>
      </w:r>
    </w:p>
    <w:p>
      <w:pPr>
        <w:keepNext w:val="0"/>
        <w:spacing w:before="0" w:after="100" w:line="276" w:lineRule="auto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□ 結果頁保留信心程度、非診斷聲明，以及使用者確認機制。</w:t>
      </w:r>
    </w:p>
    <w:p>
      <w:pPr>
        <w:keepNext w:val="0"/>
        <w:spacing w:before="0" w:after="100" w:line="276" w:lineRule="auto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□ 分享文案不製造稀有度、戰力、排名、配對優越感或測完再測誘因。</w:t>
      </w:r>
    </w:p>
    <w:p>
      <w:pPr>
        <w:keepNext w:val="0"/>
        <w:spacing w:before="0" w:after="100" w:line="276" w:lineRule="auto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□ 每次文案調整都記錄版本、理由、證據與核准人。</w:t>
      </w:r>
    </w:p>
    <w:p>
      <w:pPr>
        <w:pStyle w:val="Heading2"/>
      </w:pPr>
      <w:r>
        <w:t>版本紀錄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500"/>
        <w:gridCol w:w="3100"/>
        <w:gridCol w:w="2100"/>
        <w:gridCol w:w="2036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505158"/>
          </w:tcPr>
          <w:p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505158"/>
          </w:tcPr>
          <w:p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505158"/>
          </w:tcPr>
          <w:p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修改摘要／證據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505158"/>
          </w:tcPr>
          <w:p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企劃負責</w:t>
            </w:r>
          </w:p>
        </w:tc>
        <w:tc>
          <w:tcPr>
            <w:tcW w:type="dxa" w:w="2036"/>
            <w:tcMar>
              <w:top w:w="90" w:type="dxa"/>
              <w:start w:w="120" w:type="dxa"/>
              <w:bottom w:w="90" w:type="dxa"/>
              <w:end w:w="120" w:type="dxa"/>
            </w:tcMar>
            <w:shd w:fill="505158"/>
          </w:tcPr>
          <w:p>
            <w:r>
              <w:rPr>
                <w:rFonts w:ascii="Noto Sans TC" w:hAnsi="Noto Sans TC" w:eastAsia="Noto Sans TC"/>
                <w:b/>
                <w:i w:val="0"/>
                <w:color w:val="FFFFFF"/>
                <w:sz w:val="17"/>
              </w:rPr>
              <w:t>產品／測評核准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7"/>
              </w:rPr>
              <w:t>0.1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7"/>
              </w:rPr>
              <w:t>2026-08-23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7"/>
              </w:rPr>
              <w:t>建立 16 型內容草案與企劃共創欄位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7"/>
              </w:rPr>
              <w:t>待指定</w:t>
            </w:r>
          </w:p>
        </w:tc>
        <w:tc>
          <w:tcPr>
            <w:tcW w:type="dxa" w:w="20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i w:val="0"/>
                <w:color w:val="505158"/>
                <w:sz w:val="17"/>
              </w:rPr>
              <w:t>待審</w:t>
            </w:r>
          </w:p>
        </w:tc>
      </w:tr>
    </w:tbl>
    <w:p>
      <w:pPr>
        <w:pStyle w:val="Heading2"/>
      </w:pPr>
      <w:r>
        <w:t>下一輪企劃工作坊建議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將 16 型分成四組，每組 45 分鐘逐型審閱：先讀角色，再看禁止標籤，最後只改一個最重要的張力。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每位企劃先獨立標記『最像人』與『最像模板』的段落，再集中討論差異。</w:t>
      </w:r>
    </w:p>
    <w:p>
      <w:pPr>
        <w:pStyle w:val="ListBullet"/>
        <w:keepNext w:val="0"/>
        <w:spacing w:before="0" w:after="60" w:line="276" w:lineRule="auto"/>
        <w:ind w:left="547" w:hanging="274"/>
      </w:pPr>
      <w:r>
        <w:rPr>
          <w:rFonts w:ascii="Noto Sans TC" w:hAnsi="Noto Sans TC" w:eastAsia="Noto Sans TC"/>
          <w:b w:val="0"/>
          <w:i w:val="0"/>
          <w:color w:val="505158"/>
          <w:sz w:val="20"/>
        </w:rPr>
        <w:t>會後只產出有證據的修改；未解爭議列入訪談題，不用會議投票決定人格真相。</w:t>
      </w:r>
    </w:p>
    <w:p>
      <w:pPr>
        <w:keepNext w:val="0"/>
        <w:spacing w:before="200" w:after="80" w:line="276" w:lineRule="auto"/>
      </w:pPr>
      <w:r>
        <w:rPr>
          <w:rFonts w:ascii="Noto Sans TC" w:hAnsi="Noto Sans TC" w:eastAsia="Noto Sans TC"/>
          <w:b/>
          <w:i w:val="0"/>
          <w:color w:val="D95F82"/>
          <w:sz w:val="20"/>
        </w:rPr>
        <w:t>文件負責原則：企劃擁有表達品質，產品擁有產品邊界，測評擁有推論效度；三方共同簽核才可發布。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36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200"/>
      <w:gridCol w:w="2736"/>
    </w:tblGrid>
    <w:tr>
      <w:tc>
        <w:tcPr>
          <w:tcW w:type="dxa" w:w="7200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keepNext w:val="0"/>
            <w:spacing w:before="0" w:after="0" w:line="240" w:lineRule="auto"/>
          </w:pPr>
          <w:r>
            <w:rPr>
              <w:rFonts w:ascii="Noto Sans TC" w:hAnsi="Noto Sans TC" w:eastAsia="Noto Sans TC"/>
              <w:b w:val="0"/>
              <w:i w:val="0"/>
              <w:color w:val="777780"/>
              <w:sz w:val="16"/>
            </w:rPr>
            <w:t>內容草案 v0.1｜待企劃、產品、測評共同審閱</w:t>
          </w:r>
        </w:p>
      </w:tc>
      <w:tc>
        <w:tcPr>
          <w:tcW w:type="dxa" w:w="2736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jc w:val="right"/>
          </w:pPr>
          <w:r>
            <w:rPr>
              <w:rFonts w:ascii="Noto Sans TC" w:hAnsi="Noto Sans TC" w:eastAsia="Noto Sans TC"/>
              <w:b w:val="0"/>
              <w:i w:val="0"/>
              <w:color w:val="777780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Noto Sans TC" w:hAnsi="Noto Sans TC" w:eastAsia="Noto Sans TC"/>
        <w:b/>
        <w:i w:val="0"/>
        <w:color w:val="777780"/>
        <w:sz w:val="17"/>
      </w:rPr>
      <w:t>AIEQ 16 型動物人格設定手冊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TC" w:hAnsi="Noto Sans TC" w:eastAsia="Noto Sans TC"/>
      <w:color w:val="50515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5051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D95F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5051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TC" w:hAnsi="Noto Sans TC" w:eastAsia="Noto Sans TC"/>
      <w:b/>
      <w:color w:val="50515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TC" w:hAnsi="Noto Sans TC" w:eastAsia="Noto Sans TC"/>
      <w:b w:val="0"/>
      <w:i/>
      <w:iCs/>
      <w:color w:val="D95F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