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B58B2A"/>
          <w:sz w:val="24"/>
        </w:rPr>
        <w:t>OVERSEA SUPPLIER INTELLIGENCE</w:t>
      </w:r>
    </w:p>
    <w:p>
      <w:pPr>
        <w:spacing w:before="360"/>
        <w:jc w:val="center"/>
      </w:pPr>
      <w:r>
        <w:rPr>
          <w:rFonts w:ascii="Aptos Display" w:hAnsi="Aptos Display"/>
          <w:b/>
          <w:color w:val="111111"/>
          <w:sz w:val="54"/>
        </w:rPr>
        <w:t>ARCHITECTURE STRATÉGIQUE</w:t>
        <w:br/>
        <w:t>ET FONCTIONNELLE</w:t>
      </w:r>
    </w:p>
    <w:p>
      <w:pPr>
        <w:jc w:val="center"/>
      </w:pPr>
      <w:r>
        <w:rPr>
          <w:color w:val="6B6B6B"/>
          <w:sz w:val="26"/>
        </w:rPr>
        <w:t>Version professionnelle épurée</w:t>
      </w:r>
    </w:p>
    <w:p>
      <w:pPr>
        <w:spacing w:before="200"/>
        <w:jc w:val="center"/>
      </w:pPr>
      <w:r>
        <w:rPr>
          <w:color w:val="6B6B6B"/>
          <w:sz w:val="21"/>
        </w:rPr>
        <w:t>Parcours client · Fournisseurs · KPI · Partenaires · IA · Revenus · Juridique</w:t>
      </w:r>
    </w:p>
    <w:p>
      <w:pPr>
        <w:spacing w:before="0" w:after="0"/>
      </w:pPr>
      <w:r>
        <w:rPr>
          <w:sz w:val="4"/>
        </w:rPr>
        <w:br/>
      </w:r>
    </w:p>
    <w:tbl>
      <w:tblPr>
        <w:tblW w:type="auto" w:w="0"/>
        <w:jc w:val="center"/>
        <w:tblLayout w:type="autofit"/>
        <w:tblLook w:firstColumn="1" w:firstRow="1" w:lastColumn="0" w:lastRow="0" w:noHBand="0" w:noVBand="1" w:val="04A0"/>
      </w:tblPr>
      <w:tblGrid>
        <w:gridCol w:w="10123"/>
      </w:tblGrid>
      <w:tr>
        <w:trPr>
          <w:cantSplit/>
        </w:trPr>
        <w:tc>
          <w:tcPr>
            <w:tcW w:type="dxa" w:w="10123"/>
            <w:shd w:fill="F2F2F2"/>
            <w:tcMar>
              <w:top w:w="38" w:type="dxa"/>
              <w:start w:w="50" w:type="dxa"/>
              <w:bottom w:w="38" w:type="dxa"/>
              <w:end w:w="50" w:type="dxa"/>
            </w:tcMar>
            <w:tcBorders>
              <w:left w:val="single" w:sz="18" w:color="6B6B6B"/>
            </w:tcBorders>
          </w:tcPr>
          <w:p>
            <w:pPr>
              <w:spacing w:after="0" w:before="0" w:line="240" w:lineRule="auto"/>
            </w:pPr>
            <w:r>
              <w:rPr>
                <w:b/>
                <w:color w:val="6B6B6B"/>
                <w:sz w:val="18"/>
              </w:rPr>
              <w:t>DESTINATAIRES</w:t>
            </w:r>
          </w:p>
          <w:p>
            <w:pPr>
              <w:spacing w:after="0" w:before="0" w:line="240" w:lineRule="auto"/>
            </w:pPr>
            <w:r>
              <w:t>Yves Bationo — architecture produit et développement   |   Zack — revue juridique, contractuelle et conformité</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F9E8E7"/>
            <w:tcMar>
              <w:top w:w="38" w:type="dxa"/>
              <w:start w:w="50" w:type="dxa"/>
              <w:bottom w:w="38" w:type="dxa"/>
              <w:end w:w="50" w:type="dxa"/>
            </w:tcMar>
            <w:tcBorders>
              <w:left w:val="single" w:sz="18" w:color="B5403C"/>
            </w:tcBorders>
          </w:tcPr>
          <w:p>
            <w:pPr>
              <w:spacing w:after="0" w:before="0" w:line="240" w:lineRule="auto"/>
            </w:pPr>
            <w:r>
              <w:rPr>
                <w:b/>
                <w:color w:val="B5403C"/>
                <w:sz w:val="18"/>
              </w:rPr>
              <w:t>STATUT DU DOCUMENT</w:t>
            </w:r>
          </w:p>
          <w:p>
            <w:pPr>
              <w:spacing w:after="0" w:before="0" w:line="240" w:lineRule="auto"/>
            </w:pPr>
            <w:r>
              <w:t>Version de travail pour validation interne. Les décisions confirmées sont distinguées des recommandations et des points ouverts. Cette version intègre la règle financière confirmée : les honoraires OSI sont facturés au client, mais réglés à même la transaction traitée par Globex, sans paiement séparé du client vers OSI.</w:t>
            </w:r>
          </w:p>
        </w:tc>
      </w:tr>
    </w:tbl>
    <w:p>
      <w:pPr>
        <w:spacing w:after="0" w:before="0"/>
      </w:pPr>
    </w:p>
    <w:p>
      <w:pPr>
        <w:spacing w:before="360"/>
        <w:jc w:val="center"/>
      </w:pPr>
      <w:r>
        <w:rPr>
          <w:color w:val="6B6B6B"/>
          <w:sz w:val="18"/>
        </w:rPr>
        <w:t>Version 5  •  16 octobre 2026</w:t>
      </w:r>
    </w:p>
    <w:p>
      <w:pPr>
        <w:spacing w:before="0" w:after="0"/>
      </w:pPr>
      <w:r>
        <w:rPr>
          <w:sz w:val="4"/>
        </w:rPr>
        <w:br w:type="page"/>
      </w:r>
    </w:p>
    <w:p>
      <w:pPr>
        <w:pStyle w:val="Heading1"/>
        <w:keepNext/>
        <w:keepNext/>
      </w:pPr>
      <w:r>
        <w:t>0. Comment lire ce document</w:t>
      </w:r>
    </w:p>
    <w:p>
      <w:pPr>
        <w:pStyle w:val="SectionSubtitle"/>
      </w:pPr>
      <w:r>
        <w:t>Une seule information à un seul endroit : la version 5 conserve la structure épurée et intègre le règlement des honoraires OSI directement dans la transaction Globex.</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800"/>
            <w:shd w:fill="111111"/>
            <w:tcMar>
              <w:top w:w="38" w:type="dxa"/>
              <w:start w:w="50" w:type="dxa"/>
              <w:bottom w:w="38" w:type="dxa"/>
              <w:end w:w="50" w:type="dxa"/>
            </w:tcMar>
          </w:tcPr>
          <w:p>
            <w:pPr>
              <w:spacing w:after="0" w:before="0" w:line="240" w:lineRule="auto"/>
            </w:pPr>
            <w:r>
              <w:rPr>
                <w:b/>
                <w:color w:val="FFFFFF"/>
                <w:sz w:val="15"/>
              </w:rPr>
              <w:t>Statut</w:t>
            </w:r>
          </w:p>
        </w:tc>
        <w:tc>
          <w:tcPr>
            <w:tcW w:type="dxa" w:w="3240"/>
            <w:shd w:fill="111111"/>
            <w:tcMar>
              <w:top w:w="38" w:type="dxa"/>
              <w:start w:w="50" w:type="dxa"/>
              <w:bottom w:w="38" w:type="dxa"/>
              <w:end w:w="50" w:type="dxa"/>
            </w:tcMar>
          </w:tcPr>
          <w:p>
            <w:pPr>
              <w:spacing w:after="0" w:before="0" w:line="240" w:lineRule="auto"/>
            </w:pPr>
            <w:r>
              <w:rPr>
                <w:b/>
                <w:color w:val="FFFFFF"/>
                <w:sz w:val="15"/>
              </w:rPr>
              <w:t>Sens</w:t>
            </w:r>
          </w:p>
        </w:tc>
        <w:tc>
          <w:tcPr>
            <w:tcW w:type="dxa" w:w="4752"/>
            <w:shd w:fill="111111"/>
            <w:tcMar>
              <w:top w:w="38" w:type="dxa"/>
              <w:start w:w="50" w:type="dxa"/>
              <w:bottom w:w="38" w:type="dxa"/>
              <w:end w:w="50" w:type="dxa"/>
            </w:tcMar>
          </w:tcPr>
          <w:p>
            <w:pPr>
              <w:spacing w:after="0" w:before="0" w:line="240" w:lineRule="auto"/>
            </w:pPr>
            <w:r>
              <w:rPr>
                <w:b/>
                <w:color w:val="FFFFFF"/>
                <w:sz w:val="15"/>
              </w:rPr>
              <w:t>Conséquence</w:t>
            </w:r>
          </w:p>
        </w:tc>
      </w:tr>
      <w:tr>
        <w:trPr>
          <w:cantSplit/>
        </w:trPr>
        <w:tc>
          <w:tcPr>
            <w:tcW w:type="dxa" w:w="1800"/>
            <w:tcMar>
              <w:top w:w="38" w:type="dxa"/>
              <w:start w:w="50" w:type="dxa"/>
              <w:bottom w:w="38" w:type="dxa"/>
              <w:end w:w="50" w:type="dxa"/>
            </w:tcMar>
            <w:vAlign w:val="top"/>
          </w:tcPr>
          <w:p>
            <w:pPr>
              <w:spacing w:after="0" w:before="0" w:line="240" w:lineRule="auto"/>
            </w:pPr>
            <w:r>
              <w:rPr>
                <w:sz w:val="15"/>
              </w:rPr>
              <w:t>CONFIRMÉ</w:t>
            </w:r>
          </w:p>
        </w:tc>
        <w:tc>
          <w:tcPr>
            <w:tcW w:type="dxa" w:w="3240"/>
            <w:tcMar>
              <w:top w:w="38" w:type="dxa"/>
              <w:start w:w="50" w:type="dxa"/>
              <w:bottom w:w="38" w:type="dxa"/>
              <w:end w:w="50" w:type="dxa"/>
            </w:tcMar>
            <w:vAlign w:val="top"/>
          </w:tcPr>
          <w:p>
            <w:pPr>
              <w:spacing w:after="0" w:before="0" w:line="240" w:lineRule="auto"/>
            </w:pPr>
            <w:r>
              <w:rPr>
                <w:sz w:val="15"/>
              </w:rPr>
              <w:t>Décision explicitement retenue dans le projet</w:t>
            </w:r>
          </w:p>
        </w:tc>
        <w:tc>
          <w:tcPr>
            <w:tcW w:type="dxa" w:w="4752"/>
            <w:tcMar>
              <w:top w:w="38" w:type="dxa"/>
              <w:start w:w="50" w:type="dxa"/>
              <w:bottom w:w="38" w:type="dxa"/>
              <w:end w:w="50" w:type="dxa"/>
            </w:tcMar>
            <w:vAlign w:val="top"/>
          </w:tcPr>
          <w:p>
            <w:pPr>
              <w:spacing w:after="0" w:before="0" w:line="240" w:lineRule="auto"/>
            </w:pPr>
            <w:r>
              <w:rPr>
                <w:sz w:val="15"/>
              </w:rPr>
              <w:t>Peut guider le produit; sa traduction contractuelle doit rester cohérente.</w:t>
            </w:r>
          </w:p>
        </w:tc>
      </w:tr>
      <w:tr>
        <w:trPr>
          <w:cantSplit/>
        </w:trPr>
        <w:tc>
          <w:tcPr>
            <w:tcW w:type="dxa" w:w="1800"/>
            <w:tcMar>
              <w:top w:w="38" w:type="dxa"/>
              <w:start w:w="50" w:type="dxa"/>
              <w:bottom w:w="38" w:type="dxa"/>
              <w:end w:w="50" w:type="dxa"/>
            </w:tcMar>
            <w:vAlign w:val="top"/>
            <w:shd w:fill="FAFAFA"/>
          </w:tcPr>
          <w:p>
            <w:pPr>
              <w:spacing w:after="0" w:before="0" w:line="240" w:lineRule="auto"/>
            </w:pPr>
            <w:r>
              <w:rPr>
                <w:sz w:val="15"/>
              </w:rPr>
              <w:t>RECOMMANDÉ</w:t>
            </w:r>
          </w:p>
        </w:tc>
        <w:tc>
          <w:tcPr>
            <w:tcW w:type="dxa" w:w="3240"/>
            <w:tcMar>
              <w:top w:w="38" w:type="dxa"/>
              <w:start w:w="50" w:type="dxa"/>
              <w:bottom w:w="38" w:type="dxa"/>
              <w:end w:w="50" w:type="dxa"/>
            </w:tcMar>
            <w:vAlign w:val="top"/>
            <w:shd w:fill="FAFAFA"/>
          </w:tcPr>
          <w:p>
            <w:pPr>
              <w:spacing w:after="0" w:before="0" w:line="240" w:lineRule="auto"/>
            </w:pPr>
            <w:r>
              <w:rPr>
                <w:sz w:val="15"/>
              </w:rPr>
              <w:t>Architecture ou pratique proposée pour rendre le modèle robuste</w:t>
            </w:r>
          </w:p>
        </w:tc>
        <w:tc>
          <w:tcPr>
            <w:tcW w:type="dxa" w:w="4752"/>
            <w:tcMar>
              <w:top w:w="38" w:type="dxa"/>
              <w:start w:w="50" w:type="dxa"/>
              <w:bottom w:w="38" w:type="dxa"/>
              <w:end w:w="50" w:type="dxa"/>
            </w:tcMar>
            <w:vAlign w:val="top"/>
            <w:shd w:fill="FAFAFA"/>
          </w:tcPr>
          <w:p>
            <w:pPr>
              <w:spacing w:after="0" w:before="0" w:line="240" w:lineRule="auto"/>
            </w:pPr>
            <w:r>
              <w:rPr>
                <w:sz w:val="15"/>
              </w:rPr>
              <w:t>À confirmer avant de la figer dans le produit ou les contrats.</w:t>
            </w:r>
          </w:p>
        </w:tc>
      </w:tr>
      <w:tr>
        <w:trPr>
          <w:cantSplit/>
        </w:trPr>
        <w:tc>
          <w:tcPr>
            <w:tcW w:type="dxa" w:w="1800"/>
            <w:tcMar>
              <w:top w:w="38" w:type="dxa"/>
              <w:start w:w="50" w:type="dxa"/>
              <w:bottom w:w="38" w:type="dxa"/>
              <w:end w:w="50" w:type="dxa"/>
            </w:tcMar>
            <w:vAlign w:val="top"/>
          </w:tcPr>
          <w:p>
            <w:pPr>
              <w:spacing w:after="0" w:before="0" w:line="240" w:lineRule="auto"/>
            </w:pPr>
            <w:r>
              <w:rPr>
                <w:sz w:val="15"/>
              </w:rPr>
              <w:t>À VALIDER</w:t>
            </w:r>
          </w:p>
        </w:tc>
        <w:tc>
          <w:tcPr>
            <w:tcW w:type="dxa" w:w="3240"/>
            <w:tcMar>
              <w:top w:w="38" w:type="dxa"/>
              <w:start w:w="50" w:type="dxa"/>
              <w:bottom w:w="38" w:type="dxa"/>
              <w:end w:w="50" w:type="dxa"/>
            </w:tcMar>
            <w:vAlign w:val="top"/>
          </w:tcPr>
          <w:p>
            <w:pPr>
              <w:spacing w:after="0" w:before="0" w:line="240" w:lineRule="auto"/>
            </w:pPr>
            <w:r>
              <w:rPr>
                <w:sz w:val="15"/>
              </w:rPr>
              <w:t>Question encore ouverte</w:t>
            </w:r>
          </w:p>
        </w:tc>
        <w:tc>
          <w:tcPr>
            <w:tcW w:type="dxa" w:w="4752"/>
            <w:tcMar>
              <w:top w:w="38" w:type="dxa"/>
              <w:start w:w="50" w:type="dxa"/>
              <w:bottom w:w="38" w:type="dxa"/>
              <w:end w:w="50" w:type="dxa"/>
            </w:tcMar>
            <w:vAlign w:val="top"/>
          </w:tcPr>
          <w:p>
            <w:pPr>
              <w:spacing w:after="0" w:before="0" w:line="240" w:lineRule="auto"/>
            </w:pPr>
            <w:r>
              <w:rPr>
                <w:sz w:val="15"/>
              </w:rPr>
              <w:t>Ne pas la présenter comme décidée.</w:t>
            </w:r>
          </w:p>
        </w:tc>
      </w:tr>
      <w:tr>
        <w:trPr>
          <w:cantSplit/>
        </w:trPr>
        <w:tc>
          <w:tcPr>
            <w:tcW w:type="dxa" w:w="1800"/>
            <w:tcMar>
              <w:top w:w="38" w:type="dxa"/>
              <w:start w:w="50" w:type="dxa"/>
              <w:bottom w:w="38" w:type="dxa"/>
              <w:end w:w="50" w:type="dxa"/>
            </w:tcMar>
            <w:vAlign w:val="top"/>
            <w:shd w:fill="FAFAFA"/>
          </w:tcPr>
          <w:p>
            <w:pPr>
              <w:spacing w:after="0" w:before="0" w:line="240" w:lineRule="auto"/>
            </w:pPr>
            <w:r>
              <w:rPr>
                <w:sz w:val="15"/>
              </w:rPr>
              <w:t>JURIDIQUE</w:t>
            </w:r>
          </w:p>
        </w:tc>
        <w:tc>
          <w:tcPr>
            <w:tcW w:type="dxa" w:w="3240"/>
            <w:tcMar>
              <w:top w:w="38" w:type="dxa"/>
              <w:start w:w="50" w:type="dxa"/>
              <w:bottom w:w="38" w:type="dxa"/>
              <w:end w:w="50" w:type="dxa"/>
            </w:tcMar>
            <w:vAlign w:val="top"/>
            <w:shd w:fill="FAFAFA"/>
          </w:tcPr>
          <w:p>
            <w:pPr>
              <w:spacing w:after="0" w:before="0" w:line="240" w:lineRule="auto"/>
            </w:pPr>
            <w:r>
              <w:rPr>
                <w:sz w:val="15"/>
              </w:rPr>
              <w:t>Point qui exige la revue de Zack</w:t>
            </w:r>
          </w:p>
        </w:tc>
        <w:tc>
          <w:tcPr>
            <w:tcW w:type="dxa" w:w="4752"/>
            <w:tcMar>
              <w:top w:w="38" w:type="dxa"/>
              <w:start w:w="50" w:type="dxa"/>
              <w:bottom w:w="38" w:type="dxa"/>
              <w:end w:w="50" w:type="dxa"/>
            </w:tcMar>
            <w:vAlign w:val="top"/>
            <w:shd w:fill="FAFAFA"/>
          </w:tcPr>
          <w:p>
            <w:pPr>
              <w:spacing w:after="0" w:before="0" w:line="240" w:lineRule="auto"/>
            </w:pPr>
            <w:r>
              <w:rPr>
                <w:sz w:val="15"/>
              </w:rPr>
              <w:t>Garde-fou / feature flag tant que la qualification n’est pas faite.</w:t>
            </w:r>
          </w:p>
        </w:tc>
      </w:tr>
    </w:tbl>
    <w:p>
      <w:pPr>
        <w:spacing w:after="0" w:before="0"/>
      </w:pPr>
    </w:p>
    <w:p>
      <w:pPr>
        <w:pStyle w:val="Heading2"/>
        <w:keepNext/>
        <w:keepNext/>
      </w:pPr>
      <w:r>
        <w:t>Table des matières</w:t>
      </w:r>
    </w:p>
    <w:p>
      <w:pPr>
        <w:pStyle w:val="ListBullet"/>
        <w:spacing w:after="44"/>
      </w:pPr>
      <w:r>
        <w:t>1. Résumé exécutif et principes non négociables</w:t>
      </w:r>
    </w:p>
    <w:p>
      <w:pPr>
        <w:pStyle w:val="ListBullet"/>
        <w:spacing w:after="44"/>
      </w:pPr>
      <w:r>
        <w:t>2. Modèle opératoire OSI</w:t>
      </w:r>
    </w:p>
    <w:p>
      <w:pPr>
        <w:pStyle w:val="ListBullet"/>
        <w:spacing w:after="44"/>
      </w:pPr>
      <w:r>
        <w:t>3. Parcours de bout en bout — besoin à commande puis exécution</w:t>
      </w:r>
    </w:p>
    <w:p>
      <w:pPr>
        <w:pStyle w:val="ListBullet"/>
        <w:spacing w:after="44"/>
      </w:pPr>
      <w:r>
        <w:t>4. Moteur de décision — KPI #1, Top 5 initial, partenaires, KPI #2, Top 5 final</w:t>
      </w:r>
    </w:p>
    <w:p>
      <w:pPr>
        <w:pStyle w:val="ListBullet"/>
        <w:spacing w:after="44"/>
      </w:pPr>
      <w:r>
        <w:t>5. Expérience par acteur — acheteur, fournisseur, partenaires et Globex</w:t>
      </w:r>
    </w:p>
    <w:p>
      <w:pPr>
        <w:pStyle w:val="ListBullet"/>
        <w:spacing w:after="44"/>
      </w:pPr>
      <w:r>
        <w:t>6. Trust Engine, Supplier Passport et mémoire OSI</w:t>
      </w:r>
    </w:p>
    <w:p>
      <w:pPr>
        <w:pStyle w:val="ListBullet"/>
        <w:spacing w:after="44"/>
      </w:pPr>
      <w:r>
        <w:t>7. Architecture technique, données, permissions, sécurité et audit</w:t>
      </w:r>
    </w:p>
    <w:p>
      <w:pPr>
        <w:pStyle w:val="ListBullet"/>
        <w:keepNext/>
        <w:spacing w:after="44"/>
      </w:pPr>
      <w:r>
        <w:t>8. Revenus et architecture financière</w:t>
      </w:r>
    </w:p>
    <w:p>
      <w:pPr>
        <w:pStyle w:val="ListBullet"/>
        <w:spacing w:after="44"/>
      </w:pPr>
      <w:r>
        <w:t>9. Points juridiques à examiner avec Zack</w:t>
      </w:r>
    </w:p>
    <w:p>
      <w:pPr>
        <w:pStyle w:val="ListBullet"/>
        <w:spacing w:after="44"/>
      </w:pPr>
      <w:r>
        <w:t>10. Roadmap, critères d’acceptation et décisions ouvertes</w:t>
      </w:r>
    </w:p>
    <w:p>
      <w:pPr>
        <w:pStyle w:val="ListBullet"/>
        <w:spacing w:after="44"/>
      </w:pPr>
      <w:r>
        <w:t>Annexes — statuts de référence et sources internes</w:t>
      </w:r>
    </w:p>
    <w:p>
      <w:pPr>
        <w:pStyle w:val="Heading1"/>
        <w:keepNext/>
        <w:keepNext/>
      </w:pPr>
      <w:r>
        <w:t>1. Résumé exécutif et principes non négociables</w:t>
      </w:r>
    </w:p>
    <w:p>
      <w:pPr>
        <w:pStyle w:val="SectionSubtitle"/>
      </w:pPr>
      <w:r>
        <w:t>OSI transforme un besoin d’approvisionnement en décision documentée, puis orchestre l’exécution sans devenir l’opérateur financier ou logistique lui-même.</w:t>
      </w:r>
    </w:p>
    <w:tbl>
      <w:tblPr>
        <w:tblW w:type="auto" w:w="0"/>
        <w:jc w:val="center"/>
        <w:tblLayout w:type="autofit"/>
        <w:tblLook w:firstColumn="1" w:firstRow="1" w:lastColumn="0" w:lastRow="0" w:noHBand="0" w:noVBand="1" w:val="04A0"/>
      </w:tblPr>
      <w:tblGrid>
        <w:gridCol w:w="10123"/>
      </w:tblGrid>
      <w:tr>
        <w:trPr>
          <w:cantSplit/>
        </w:trPr>
        <w:tc>
          <w:tcPr>
            <w:tcW w:type="dxa" w:w="10123"/>
            <w:shd w:fill="F5EEDB"/>
            <w:tcMar>
              <w:top w:w="38" w:type="dxa"/>
              <w:start w:w="50" w:type="dxa"/>
              <w:bottom w:w="38" w:type="dxa"/>
              <w:end w:w="50" w:type="dxa"/>
            </w:tcMar>
            <w:tcBorders>
              <w:left w:val="single" w:sz="18" w:color="B58B2A"/>
            </w:tcBorders>
          </w:tcPr>
          <w:p>
            <w:pPr>
              <w:spacing w:after="0" w:before="0" w:line="240" w:lineRule="auto"/>
            </w:pPr>
            <w:r>
              <w:rPr>
                <w:b/>
                <w:color w:val="B58B2A"/>
                <w:sz w:val="18"/>
              </w:rPr>
              <w:t>POSITIONNEMENT CENTRAL</w:t>
            </w:r>
          </w:p>
          <w:p>
            <w:pPr>
              <w:spacing w:after="0" w:before="0" w:line="240" w:lineRule="auto"/>
            </w:pPr>
            <w:r>
              <w:t>OSI n’est pas un annuaire de fournisseurs. La plateforme comprend le besoin, cherche des fournisseurs compatibles, fait passer les offres dans un premier filtre KPI, enrichit les cinq meilleures avec les partenaires, recalcule la transaction complète, puis accompagne la commande jusqu’à la livraison.</w:t>
            </w:r>
          </w:p>
        </w:tc>
      </w:tr>
    </w:tbl>
    <w:p>
      <w:pPr>
        <w:spacing w:after="0" w:before="0"/>
      </w:pPr>
    </w:p>
    <w:p>
      <w:pPr>
        <w:pStyle w:val="Heading2"/>
        <w:keepNext/>
        <w:keepNext/>
      </w:pPr>
      <w:r>
        <w:t>Décisions confirmées à protéger</w:t>
      </w:r>
    </w:p>
    <w:p>
      <w:pPr>
        <w:pStyle w:val="ListBullet"/>
        <w:spacing w:after="44"/>
      </w:pPr>
      <w:r>
        <w:t>Buyer-first : le processus part du besoin réel de l’acheteur, pas d’un catalogue fournisseur.</w:t>
      </w:r>
    </w:p>
    <w:p>
      <w:pPr>
        <w:pStyle w:val="ListBullet"/>
        <w:spacing w:after="44"/>
      </w:pPr>
      <w:r>
        <w:t>Le fournisseur le plus compatible peut être au Québec, en Alberta ou à l’international; la géographie est un critère, pas la mission.</w:t>
      </w:r>
    </w:p>
    <w:p>
      <w:pPr>
        <w:pStyle w:val="ListBullet"/>
        <w:spacing w:after="44"/>
      </w:pPr>
      <w:r>
        <w:t>La recherche utilise d’abord le pool OSI, puis le web si la couverture est insuffisante.</w:t>
      </w:r>
    </w:p>
    <w:p>
      <w:pPr>
        <w:pStyle w:val="ListBullet"/>
        <w:spacing w:after="44"/>
      </w:pPr>
      <w:r>
        <w:t>Deux classements distincts sont nécessaires : KPI #1 évalue le fournisseur; KPI #2 évalue la transaction enrichie.</w:t>
      </w:r>
    </w:p>
    <w:p>
      <w:pPr>
        <w:pStyle w:val="ListBullet"/>
        <w:spacing w:after="44"/>
      </w:pPr>
      <w:r>
        <w:t>Le Top 5 final n’est présenté qu’après enrichissement des offres par les partenaires requis.</w:t>
      </w:r>
    </w:p>
    <w:p>
      <w:pPr>
        <w:pStyle w:val="ListBullet"/>
        <w:spacing w:after="44"/>
      </w:pPr>
      <w:r>
        <w:t>Le client conserve le choix final du fournisseur; OSI conserve la recommandation et l’historique de décision.</w:t>
      </w:r>
    </w:p>
    <w:p>
      <w:pPr>
        <w:pStyle w:val="ListBullet"/>
        <w:spacing w:after="44"/>
      </w:pPr>
      <w:r>
        <w:t>OSI veut orchestrer les paiements via Globex ou d’autres partenaires sans détenir les fonds commerciaux.</w:t>
      </w:r>
    </w:p>
    <w:p>
      <w:pPr>
        <w:pStyle w:val="ListBullet"/>
        <w:spacing w:after="44"/>
      </w:pPr>
      <w:r>
        <w:t>L’humain intervient aux moments critiques; l’IA porte la préparation, la recherche, la comparaison et le suivi courant.</w:t>
      </w:r>
    </w:p>
    <w:tbl>
      <w:tblPr>
        <w:tblW w:type="auto" w:w="0"/>
        <w:jc w:val="center"/>
        <w:tblLayout w:type="autofit"/>
        <w:tblLook w:firstColumn="1" w:firstRow="1" w:lastColumn="0" w:lastRow="0" w:noHBand="0" w:noVBand="1" w:val="04A0"/>
      </w:tblPr>
      <w:tblGrid>
        <w:gridCol w:w="10123"/>
      </w:tblGrid>
      <w:tr>
        <w:trPr>
          <w:cantSplit/>
        </w:trPr>
        <w:tc>
          <w:tcPr>
            <w:tcW w:type="dxa" w:w="10123"/>
            <w:shd w:fill="EAF2F8"/>
            <w:tcMar>
              <w:top w:w="38" w:type="dxa"/>
              <w:start w:w="50" w:type="dxa"/>
              <w:bottom w:w="38" w:type="dxa"/>
              <w:end w:w="50" w:type="dxa"/>
            </w:tcMar>
            <w:tcBorders>
              <w:left w:val="single" w:sz="18" w:color="2D5F87"/>
            </w:tcBorders>
          </w:tcPr>
          <w:p>
            <w:pPr>
              <w:spacing w:after="0" w:before="0" w:line="240" w:lineRule="auto"/>
            </w:pPr>
            <w:r>
              <w:rPr>
                <w:b/>
                <w:color w:val="2D5F87"/>
                <w:sz w:val="18"/>
              </w:rPr>
              <w:t>PRINCIPE D’ARCHITECTURE</w:t>
            </w:r>
          </w:p>
          <w:p>
            <w:pPr>
              <w:spacing w:after="0" w:before="0" w:line="240" w:lineRule="auto"/>
            </w:pPr>
            <w:r>
              <w:t>Construire une couche d’orchestration générique. Globex, SGS, transporteurs et courtiers en douane doivent être des partenaires interchangeables derrière des interfaces communes, pas des dépendances codées partout dans le produit.</w:t>
            </w:r>
          </w:p>
        </w:tc>
      </w:tr>
    </w:tbl>
    <w:p>
      <w:pPr>
        <w:spacing w:after="0" w:before="0"/>
      </w:pPr>
    </w:p>
    <w:p>
      <w:pPr>
        <w:pStyle w:val="Heading1"/>
        <w:keepNext/>
        <w:keepNext/>
      </w:pPr>
      <w:r>
        <w:t>2. Modèle opératoire OSI</w:t>
      </w:r>
    </w:p>
    <w:p>
      <w:pPr>
        <w:pStyle w:val="SectionSubtitle"/>
      </w:pPr>
      <w:r>
        <w:t>Quatre surfaces utilisateurs reliées à une couche centrale d’orchestration, de données et de décision.</w:t>
      </w:r>
    </w:p>
    <w:p>
      <w:pPr>
        <w:spacing w:after="60" w:before="40"/>
        <w:jc w:val="center"/>
      </w:pPr>
      <w:r>
        <w:drawing>
          <wp:inline xmlns:a="http://schemas.openxmlformats.org/drawingml/2006/main" xmlns:pic="http://schemas.openxmlformats.org/drawingml/2006/picture">
            <wp:extent cx="6199632" cy="3487292"/>
            <wp:docPr id="1" name="Picture 1"/>
            <wp:cNvGraphicFramePr>
              <a:graphicFrameLocks noChangeAspect="1"/>
            </wp:cNvGraphicFramePr>
            <a:graphic>
              <a:graphicData uri="http://schemas.openxmlformats.org/drawingml/2006/picture">
                <pic:pic>
                  <pic:nvPicPr>
                    <pic:cNvPr id="0" name="osi_architecture_v4.png"/>
                    <pic:cNvPicPr/>
                  </pic:nvPicPr>
                  <pic:blipFill>
                    <a:blip r:embed="rId11"/>
                    <a:stretch>
                      <a:fillRect/>
                    </a:stretch>
                  </pic:blipFill>
                  <pic:spPr>
                    <a:xfrm>
                      <a:off x="0" y="0"/>
                      <a:ext cx="6199632" cy="348729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800"/>
            <w:shd w:fill="111111"/>
            <w:tcMar>
              <w:top w:w="38" w:type="dxa"/>
              <w:start w:w="50" w:type="dxa"/>
              <w:bottom w:w="38" w:type="dxa"/>
              <w:end w:w="50" w:type="dxa"/>
            </w:tcMar>
          </w:tcPr>
          <w:p>
            <w:pPr>
              <w:spacing w:after="0" w:before="0" w:line="240" w:lineRule="auto"/>
            </w:pPr>
            <w:r>
              <w:rPr>
                <w:b/>
                <w:color w:val="FFFFFF"/>
                <w:sz w:val="15"/>
              </w:rPr>
              <w:t>Surface</w:t>
            </w:r>
          </w:p>
        </w:tc>
        <w:tc>
          <w:tcPr>
            <w:tcW w:type="dxa" w:w="2088"/>
            <w:shd w:fill="111111"/>
            <w:tcMar>
              <w:top w:w="38" w:type="dxa"/>
              <w:start w:w="50" w:type="dxa"/>
              <w:bottom w:w="38" w:type="dxa"/>
              <w:end w:w="50" w:type="dxa"/>
            </w:tcMar>
          </w:tcPr>
          <w:p>
            <w:pPr>
              <w:spacing w:after="0" w:before="0" w:line="240" w:lineRule="auto"/>
            </w:pPr>
            <w:r>
              <w:rPr>
                <w:b/>
                <w:color w:val="FFFFFF"/>
                <w:sz w:val="15"/>
              </w:rPr>
              <w:t>Utilisateur</w:t>
            </w:r>
          </w:p>
        </w:tc>
        <w:tc>
          <w:tcPr>
            <w:tcW w:type="dxa" w:w="2952"/>
            <w:shd w:fill="111111"/>
            <w:tcMar>
              <w:top w:w="38" w:type="dxa"/>
              <w:start w:w="50" w:type="dxa"/>
              <w:bottom w:w="38" w:type="dxa"/>
              <w:end w:w="50" w:type="dxa"/>
            </w:tcMar>
          </w:tcPr>
          <w:p>
            <w:pPr>
              <w:spacing w:after="0" w:before="0" w:line="240" w:lineRule="auto"/>
            </w:pPr>
            <w:r>
              <w:rPr>
                <w:b/>
                <w:color w:val="FFFFFF"/>
                <w:sz w:val="15"/>
              </w:rPr>
              <w:t>Rôle dans OSI</w:t>
            </w:r>
          </w:p>
        </w:tc>
        <w:tc>
          <w:tcPr>
            <w:tcW w:type="dxa" w:w="3096"/>
            <w:shd w:fill="111111"/>
            <w:tcMar>
              <w:top w:w="38" w:type="dxa"/>
              <w:start w:w="50" w:type="dxa"/>
              <w:bottom w:w="38" w:type="dxa"/>
              <w:end w:w="50" w:type="dxa"/>
            </w:tcMar>
          </w:tcPr>
          <w:p>
            <w:pPr>
              <w:spacing w:after="0" w:before="0" w:line="240" w:lineRule="auto"/>
            </w:pPr>
            <w:r>
              <w:rPr>
                <w:b/>
                <w:color w:val="FFFFFF"/>
                <w:sz w:val="15"/>
              </w:rPr>
              <w:t>Fonctions principales</w:t>
            </w:r>
          </w:p>
        </w:tc>
      </w:tr>
      <w:tr>
        <w:trPr>
          <w:cantSplit/>
        </w:trPr>
        <w:tc>
          <w:tcPr>
            <w:tcW w:type="dxa" w:w="1800"/>
            <w:tcMar>
              <w:top w:w="38" w:type="dxa"/>
              <w:start w:w="50" w:type="dxa"/>
              <w:bottom w:w="38" w:type="dxa"/>
              <w:end w:w="50" w:type="dxa"/>
            </w:tcMar>
            <w:vAlign w:val="top"/>
          </w:tcPr>
          <w:p>
            <w:pPr>
              <w:spacing w:after="0" w:before="0" w:line="240" w:lineRule="auto"/>
            </w:pPr>
            <w:r>
              <w:rPr>
                <w:sz w:val="15"/>
              </w:rPr>
              <w:t>Portail acheteur</w:t>
            </w:r>
          </w:p>
        </w:tc>
        <w:tc>
          <w:tcPr>
            <w:tcW w:type="dxa" w:w="2088"/>
            <w:tcMar>
              <w:top w:w="38" w:type="dxa"/>
              <w:start w:w="50" w:type="dxa"/>
              <w:bottom w:w="38" w:type="dxa"/>
              <w:end w:w="50" w:type="dxa"/>
            </w:tcMar>
            <w:vAlign w:val="top"/>
          </w:tcPr>
          <w:p>
            <w:pPr>
              <w:spacing w:after="0" w:before="0" w:line="240" w:lineRule="auto"/>
            </w:pPr>
            <w:r>
              <w:rPr>
                <w:sz w:val="15"/>
              </w:rPr>
              <w:t>Client / approvisionnement</w:t>
            </w:r>
          </w:p>
        </w:tc>
        <w:tc>
          <w:tcPr>
            <w:tcW w:type="dxa" w:w="2952"/>
            <w:tcMar>
              <w:top w:w="38" w:type="dxa"/>
              <w:start w:w="50" w:type="dxa"/>
              <w:bottom w:w="38" w:type="dxa"/>
              <w:end w:w="50" w:type="dxa"/>
            </w:tcMar>
            <w:vAlign w:val="top"/>
          </w:tcPr>
          <w:p>
            <w:pPr>
              <w:spacing w:after="0" w:before="0" w:line="240" w:lineRule="auto"/>
            </w:pPr>
            <w:r>
              <w:rPr>
                <w:sz w:val="15"/>
              </w:rPr>
              <w:t>Décrire, comprendre, décider et suivre</w:t>
            </w:r>
          </w:p>
        </w:tc>
        <w:tc>
          <w:tcPr>
            <w:tcW w:type="dxa" w:w="3096"/>
            <w:tcMar>
              <w:top w:w="38" w:type="dxa"/>
              <w:start w:w="50" w:type="dxa"/>
              <w:bottom w:w="38" w:type="dxa"/>
              <w:end w:w="50" w:type="dxa"/>
            </w:tcMar>
            <w:vAlign w:val="top"/>
          </w:tcPr>
          <w:p>
            <w:pPr>
              <w:spacing w:after="0" w:before="0" w:line="240" w:lineRule="auto"/>
            </w:pPr>
            <w:r>
              <w:rPr>
                <w:sz w:val="15"/>
              </w:rPr>
              <w:t>Demandes, comparateur, documents, transaction, décisions, frais OSI intégrés au règlement et facture justificative.</w:t>
            </w:r>
          </w:p>
        </w:tc>
      </w:tr>
      <w:tr>
        <w:trPr>
          <w:cantSplit/>
        </w:trPr>
        <w:tc>
          <w:tcPr>
            <w:tcW w:type="dxa" w:w="1800"/>
            <w:tcMar>
              <w:top w:w="38" w:type="dxa"/>
              <w:start w:w="50" w:type="dxa"/>
              <w:bottom w:w="38" w:type="dxa"/>
              <w:end w:w="50" w:type="dxa"/>
            </w:tcMar>
            <w:vAlign w:val="top"/>
            <w:shd w:fill="FAFAFA"/>
          </w:tcPr>
          <w:p>
            <w:pPr>
              <w:spacing w:after="0" w:before="0" w:line="240" w:lineRule="auto"/>
            </w:pPr>
            <w:r>
              <w:rPr>
                <w:sz w:val="15"/>
              </w:rPr>
              <w:t>Portail fournisseur</w:t>
            </w:r>
          </w:p>
        </w:tc>
        <w:tc>
          <w:tcPr>
            <w:tcW w:type="dxa" w:w="2088"/>
            <w:tcMar>
              <w:top w:w="38" w:type="dxa"/>
              <w:start w:w="50" w:type="dxa"/>
              <w:bottom w:w="38" w:type="dxa"/>
              <w:end w:w="50" w:type="dxa"/>
            </w:tcMar>
            <w:vAlign w:val="top"/>
            <w:shd w:fill="FAFAFA"/>
          </w:tcPr>
          <w:p>
            <w:pPr>
              <w:spacing w:after="0" w:before="0" w:line="240" w:lineRule="auto"/>
            </w:pPr>
            <w:r>
              <w:rPr>
                <w:sz w:val="15"/>
              </w:rPr>
              <w:t>Fournisseur invité / actif</w:t>
            </w:r>
          </w:p>
        </w:tc>
        <w:tc>
          <w:tcPr>
            <w:tcW w:type="dxa" w:w="2952"/>
            <w:tcMar>
              <w:top w:w="38" w:type="dxa"/>
              <w:start w:w="50" w:type="dxa"/>
              <w:bottom w:w="38" w:type="dxa"/>
              <w:end w:w="50" w:type="dxa"/>
            </w:tcMar>
            <w:vAlign w:val="top"/>
            <w:shd w:fill="FAFAFA"/>
          </w:tcPr>
          <w:p>
            <w:pPr>
              <w:spacing w:after="0" w:before="0" w:line="240" w:lineRule="auto"/>
            </w:pPr>
            <w:r>
              <w:rPr>
                <w:sz w:val="15"/>
              </w:rPr>
              <w:t>Répondre aux RFQ et exécuter le dossier gagné</w:t>
            </w:r>
          </w:p>
        </w:tc>
        <w:tc>
          <w:tcPr>
            <w:tcW w:type="dxa" w:w="3096"/>
            <w:tcMar>
              <w:top w:w="38" w:type="dxa"/>
              <w:start w:w="50" w:type="dxa"/>
              <w:bottom w:w="38" w:type="dxa"/>
              <w:end w:w="50" w:type="dxa"/>
            </w:tcMar>
            <w:vAlign w:val="top"/>
            <w:shd w:fill="FAFAFA"/>
          </w:tcPr>
          <w:p>
            <w:pPr>
              <w:spacing w:after="0" w:before="0" w:line="240" w:lineRule="auto"/>
            </w:pPr>
            <w:r>
              <w:rPr>
                <w:sz w:val="15"/>
              </w:rPr>
              <w:t>Offres, documents, signatures, production, expédition, profil.</w:t>
            </w:r>
          </w:p>
        </w:tc>
      </w:tr>
      <w:tr>
        <w:trPr>
          <w:cantSplit/>
        </w:trPr>
        <w:tc>
          <w:tcPr>
            <w:tcW w:type="dxa" w:w="1800"/>
            <w:tcMar>
              <w:top w:w="38" w:type="dxa"/>
              <w:start w:w="50" w:type="dxa"/>
              <w:bottom w:w="38" w:type="dxa"/>
              <w:end w:w="50" w:type="dxa"/>
            </w:tcMar>
            <w:vAlign w:val="top"/>
          </w:tcPr>
          <w:p>
            <w:pPr>
              <w:spacing w:after="0" w:before="0" w:line="240" w:lineRule="auto"/>
            </w:pPr>
            <w:r>
              <w:rPr>
                <w:sz w:val="15"/>
              </w:rPr>
              <w:t>Admin OSI</w:t>
            </w:r>
          </w:p>
        </w:tc>
        <w:tc>
          <w:tcPr>
            <w:tcW w:type="dxa" w:w="2088"/>
            <w:tcMar>
              <w:top w:w="38" w:type="dxa"/>
              <w:start w:w="50" w:type="dxa"/>
              <w:bottom w:w="38" w:type="dxa"/>
              <w:end w:w="50" w:type="dxa"/>
            </w:tcMar>
            <w:vAlign w:val="top"/>
          </w:tcPr>
          <w:p>
            <w:pPr>
              <w:spacing w:after="0" w:before="0" w:line="240" w:lineRule="auto"/>
            </w:pPr>
            <w:r>
              <w:rPr>
                <w:sz w:val="15"/>
              </w:rPr>
              <w:t>Équipe OSI</w:t>
            </w:r>
          </w:p>
        </w:tc>
        <w:tc>
          <w:tcPr>
            <w:tcW w:type="dxa" w:w="2952"/>
            <w:tcMar>
              <w:top w:w="38" w:type="dxa"/>
              <w:start w:w="50" w:type="dxa"/>
              <w:bottom w:w="38" w:type="dxa"/>
              <w:end w:w="50" w:type="dxa"/>
            </w:tcMar>
            <w:vAlign w:val="top"/>
          </w:tcPr>
          <w:p>
            <w:pPr>
              <w:spacing w:after="0" w:before="0" w:line="240" w:lineRule="auto"/>
            </w:pPr>
            <w:r>
              <w:rPr>
                <w:sz w:val="15"/>
              </w:rPr>
              <w:t>Superviser et gérer les exceptions</w:t>
            </w:r>
          </w:p>
        </w:tc>
        <w:tc>
          <w:tcPr>
            <w:tcW w:type="dxa" w:w="3096"/>
            <w:tcMar>
              <w:top w:w="38" w:type="dxa"/>
              <w:start w:w="50" w:type="dxa"/>
              <w:bottom w:w="38" w:type="dxa"/>
              <w:end w:w="50" w:type="dxa"/>
            </w:tcMar>
            <w:vAlign w:val="top"/>
          </w:tcPr>
          <w:p>
            <w:pPr>
              <w:spacing w:after="0" w:before="0" w:line="240" w:lineRule="auto"/>
            </w:pPr>
            <w:r>
              <w:rPr>
                <w:sz w:val="15"/>
              </w:rPr>
              <w:t>Queues, scoring, validations, partenaires, audit, facturation, clôture.</w:t>
            </w:r>
          </w:p>
        </w:tc>
      </w:tr>
      <w:tr>
        <w:trPr>
          <w:cantSplit/>
        </w:trPr>
        <w:tc>
          <w:tcPr>
            <w:tcW w:type="dxa" w:w="1800"/>
            <w:tcMar>
              <w:top w:w="38" w:type="dxa"/>
              <w:start w:w="50" w:type="dxa"/>
              <w:bottom w:w="38" w:type="dxa"/>
              <w:end w:w="50" w:type="dxa"/>
            </w:tcMar>
            <w:vAlign w:val="top"/>
            <w:shd w:fill="FAFAFA"/>
          </w:tcPr>
          <w:p>
            <w:pPr>
              <w:spacing w:after="0" w:before="0" w:line="240" w:lineRule="auto"/>
            </w:pPr>
            <w:r>
              <w:rPr>
                <w:sz w:val="15"/>
              </w:rPr>
              <w:t>Partner Hub</w:t>
            </w:r>
          </w:p>
        </w:tc>
        <w:tc>
          <w:tcPr>
            <w:tcW w:type="dxa" w:w="2088"/>
            <w:tcMar>
              <w:top w:w="38" w:type="dxa"/>
              <w:start w:w="50" w:type="dxa"/>
              <w:bottom w:w="38" w:type="dxa"/>
              <w:end w:w="50" w:type="dxa"/>
            </w:tcMar>
            <w:vAlign w:val="top"/>
            <w:shd w:fill="FAFAFA"/>
          </w:tcPr>
          <w:p>
            <w:pPr>
              <w:spacing w:after="0" w:before="0" w:line="240" w:lineRule="auto"/>
            </w:pPr>
            <w:r>
              <w:rPr>
                <w:sz w:val="15"/>
              </w:rPr>
              <w:t>Globex / SGS / logistique / douane</w:t>
            </w:r>
          </w:p>
        </w:tc>
        <w:tc>
          <w:tcPr>
            <w:tcW w:type="dxa" w:w="2952"/>
            <w:tcMar>
              <w:top w:w="38" w:type="dxa"/>
              <w:start w:w="50" w:type="dxa"/>
              <w:bottom w:w="38" w:type="dxa"/>
              <w:end w:w="50" w:type="dxa"/>
            </w:tcMar>
            <w:vAlign w:val="top"/>
            <w:shd w:fill="FAFAFA"/>
          </w:tcPr>
          <w:p>
            <w:pPr>
              <w:spacing w:after="0" w:before="0" w:line="240" w:lineRule="auto"/>
            </w:pPr>
            <w:r>
              <w:rPr>
                <w:sz w:val="15"/>
              </w:rPr>
              <w:t>Enrichir ou exécuter une portion assignée</w:t>
            </w:r>
          </w:p>
        </w:tc>
        <w:tc>
          <w:tcPr>
            <w:tcW w:type="dxa" w:w="3096"/>
            <w:tcMar>
              <w:top w:w="38" w:type="dxa"/>
              <w:start w:w="50" w:type="dxa"/>
              <w:bottom w:w="38" w:type="dxa"/>
              <w:end w:w="50" w:type="dxa"/>
            </w:tcMar>
            <w:vAlign w:val="top"/>
            <w:shd w:fill="FAFAFA"/>
          </w:tcPr>
          <w:p>
            <w:pPr>
              <w:spacing w:after="0" w:before="0" w:line="240" w:lineRule="auto"/>
            </w:pPr>
            <w:r>
              <w:rPr>
                <w:sz w:val="15"/>
              </w:rPr>
              <w:t>Devis, documents, validations, statuts, événements et résultats.</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F2F2F2"/>
            <w:tcMar>
              <w:top w:w="38" w:type="dxa"/>
              <w:start w:w="50" w:type="dxa"/>
              <w:bottom w:w="38" w:type="dxa"/>
              <w:end w:w="50" w:type="dxa"/>
            </w:tcMar>
            <w:tcBorders>
              <w:left w:val="single" w:sz="18" w:color="6B6B6B"/>
            </w:tcBorders>
          </w:tcPr>
          <w:p>
            <w:pPr>
              <w:spacing w:after="0" w:before="0" w:line="240" w:lineRule="auto"/>
            </w:pPr>
            <w:r>
              <w:rPr>
                <w:b/>
                <w:color w:val="6B6B6B"/>
                <w:sz w:val="18"/>
              </w:rPr>
              <w:t>PRINCIPE UX</w:t>
            </w:r>
          </w:p>
          <w:p>
            <w:pPr>
              <w:spacing w:after="0" w:before="0" w:line="240" w:lineRule="auto"/>
            </w:pPr>
            <w:r>
              <w:t>Le client doit voir une seule expérience OSI. Les partenaires restent visibles lorsque c’est utile, mais la complexité de coordination reste derrière la plateforme.</w:t>
            </w:r>
          </w:p>
        </w:tc>
      </w:tr>
    </w:tbl>
    <w:p>
      <w:pPr>
        <w:spacing w:after="0" w:before="0"/>
      </w:pPr>
    </w:p>
    <w:p>
      <w:pPr>
        <w:pStyle w:val="Heading1"/>
        <w:keepNext/>
        <w:keepNext/>
      </w:pPr>
      <w:r>
        <w:t>3. Parcours de bout en bout</w:t>
      </w:r>
    </w:p>
    <w:p>
      <w:pPr>
        <w:pStyle w:val="SectionSubtitle"/>
        <w:keepNext/>
      </w:pPr>
      <w:r>
        <w:t>Ordre confirmé par Henrik : enrichir les cinq meilleures soumissions avant de présenter la recommandation finale au client.</w:t>
      </w:r>
    </w:p>
    <w:p>
      <w:pPr>
        <w:spacing w:after="60" w:before="40"/>
        <w:jc w:val="center"/>
      </w:pPr>
      <w:r>
        <w:drawing>
          <wp:inline xmlns:a="http://schemas.openxmlformats.org/drawingml/2006/main" xmlns:pic="http://schemas.openxmlformats.org/drawingml/2006/picture">
            <wp:extent cx="6144768" cy="4267200"/>
            <wp:docPr id="2" name="Picture 2"/>
            <wp:cNvGraphicFramePr>
              <a:graphicFrameLocks noChangeAspect="1"/>
            </wp:cNvGraphicFramePr>
            <a:graphic>
              <a:graphicData uri="http://schemas.openxmlformats.org/drawingml/2006/picture">
                <pic:pic>
                  <pic:nvPicPr>
                    <pic:cNvPr id="0" name="osi_flow_v3.png"/>
                    <pic:cNvPicPr/>
                  </pic:nvPicPr>
                  <pic:blipFill>
                    <a:blip r:embed="rId12"/>
                    <a:stretch>
                      <a:fillRect/>
                    </a:stretch>
                  </pic:blipFill>
                  <pic:spPr>
                    <a:xfrm>
                      <a:off x="0" y="0"/>
                      <a:ext cx="6144768" cy="4267200"/>
                    </a:xfrm>
                    <a:prstGeom prst="rect"/>
                  </pic:spPr>
                </pic:pic>
              </a:graphicData>
            </a:graphic>
          </wp:inline>
        </w:drawing>
      </w:r>
    </w:p>
    <w:p>
      <w:pPr>
        <w:pStyle w:val="Heading2"/>
        <w:keepNext/>
        <w:keepNext/>
      </w:pPr>
      <w:r>
        <w:t>A. Besoin → commande : les 12 étapes confirmées</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504"/>
            <w:shd w:fill="111111"/>
            <w:tcMar>
              <w:top w:w="38" w:type="dxa"/>
              <w:start w:w="50" w:type="dxa"/>
              <w:bottom w:w="38" w:type="dxa"/>
              <w:end w:w="50" w:type="dxa"/>
            </w:tcMar>
          </w:tcPr>
          <w:p>
            <w:pPr>
              <w:spacing w:after="0" w:before="0" w:line="240" w:lineRule="auto"/>
            </w:pPr>
            <w:r>
              <w:rPr>
                <w:b/>
                <w:color w:val="FFFFFF"/>
                <w:sz w:val="14"/>
              </w:rPr>
              <w:t>#</w:t>
            </w:r>
          </w:p>
        </w:tc>
        <w:tc>
          <w:tcPr>
            <w:tcW w:type="dxa" w:w="1656"/>
            <w:shd w:fill="111111"/>
            <w:tcMar>
              <w:top w:w="38" w:type="dxa"/>
              <w:start w:w="50" w:type="dxa"/>
              <w:bottom w:w="38" w:type="dxa"/>
              <w:end w:w="50" w:type="dxa"/>
            </w:tcMar>
          </w:tcPr>
          <w:p>
            <w:pPr>
              <w:spacing w:after="0" w:before="0" w:line="240" w:lineRule="auto"/>
            </w:pPr>
            <w:r>
              <w:rPr>
                <w:b/>
                <w:color w:val="FFFFFF"/>
                <w:sz w:val="14"/>
              </w:rPr>
              <w:t>Responsable</w:t>
            </w:r>
          </w:p>
        </w:tc>
        <w:tc>
          <w:tcPr>
            <w:tcW w:type="dxa" w:w="5112"/>
            <w:shd w:fill="111111"/>
            <w:tcMar>
              <w:top w:w="38" w:type="dxa"/>
              <w:start w:w="50" w:type="dxa"/>
              <w:bottom w:w="38" w:type="dxa"/>
              <w:end w:w="50" w:type="dxa"/>
            </w:tcMar>
          </w:tcPr>
          <w:p>
            <w:pPr>
              <w:spacing w:after="0" w:before="0" w:line="240" w:lineRule="auto"/>
            </w:pPr>
            <w:r>
              <w:rPr>
                <w:b/>
                <w:color w:val="FFFFFF"/>
                <w:sz w:val="14"/>
              </w:rPr>
              <w:t>Action</w:t>
            </w:r>
          </w:p>
        </w:tc>
        <w:tc>
          <w:tcPr>
            <w:tcW w:type="dxa" w:w="2160"/>
            <w:shd w:fill="111111"/>
            <w:tcMar>
              <w:top w:w="38" w:type="dxa"/>
              <w:start w:w="50" w:type="dxa"/>
              <w:bottom w:w="38" w:type="dxa"/>
              <w:end w:w="50" w:type="dxa"/>
            </w:tcMar>
          </w:tcPr>
          <w:p>
            <w:pPr>
              <w:spacing w:after="0" w:before="0" w:line="240" w:lineRule="auto"/>
            </w:pPr>
            <w:r>
              <w:rPr>
                <w:b/>
                <w:color w:val="FFFFFF"/>
                <w:sz w:val="14"/>
              </w:rPr>
              <w:t>Sortie</w:t>
            </w:r>
          </w:p>
        </w:tc>
      </w:tr>
      <w:tr>
        <w:trPr>
          <w:cantSplit/>
        </w:trPr>
        <w:tc>
          <w:tcPr>
            <w:tcW w:type="dxa" w:w="504"/>
            <w:tcMar>
              <w:top w:w="38" w:type="dxa"/>
              <w:start w:w="50" w:type="dxa"/>
              <w:bottom w:w="38" w:type="dxa"/>
              <w:end w:w="50" w:type="dxa"/>
            </w:tcMar>
            <w:vAlign w:val="top"/>
          </w:tcPr>
          <w:p>
            <w:pPr>
              <w:spacing w:after="0" w:before="0" w:line="240" w:lineRule="auto"/>
            </w:pPr>
            <w:r>
              <w:rPr>
                <w:sz w:val="14"/>
              </w:rPr>
              <w:t>01</w:t>
            </w:r>
          </w:p>
        </w:tc>
        <w:tc>
          <w:tcPr>
            <w:tcW w:type="dxa" w:w="1656"/>
            <w:tcMar>
              <w:top w:w="38" w:type="dxa"/>
              <w:start w:w="50" w:type="dxa"/>
              <w:bottom w:w="38" w:type="dxa"/>
              <w:end w:w="50" w:type="dxa"/>
            </w:tcMar>
            <w:vAlign w:val="top"/>
          </w:tcPr>
          <w:p>
            <w:pPr>
              <w:spacing w:after="0" w:before="0" w:line="240" w:lineRule="auto"/>
            </w:pPr>
            <w:r>
              <w:rPr>
                <w:sz w:val="14"/>
              </w:rPr>
              <w:t>Acheteur</w:t>
            </w:r>
          </w:p>
        </w:tc>
        <w:tc>
          <w:tcPr>
            <w:tcW w:type="dxa" w:w="5112"/>
            <w:tcMar>
              <w:top w:w="38" w:type="dxa"/>
              <w:start w:w="50" w:type="dxa"/>
              <w:bottom w:w="38" w:type="dxa"/>
              <w:end w:w="50" w:type="dxa"/>
            </w:tcMar>
            <w:vAlign w:val="top"/>
          </w:tcPr>
          <w:p>
            <w:pPr>
              <w:spacing w:after="0" w:before="0" w:line="240" w:lineRule="auto"/>
            </w:pPr>
            <w:r>
              <w:rPr>
                <w:sz w:val="14"/>
              </w:rPr>
              <w:t>Décrit le besoin : produit/service, quantité, budget, destination, délais, normes, contexte.</w:t>
            </w:r>
          </w:p>
        </w:tc>
        <w:tc>
          <w:tcPr>
            <w:tcW w:type="dxa" w:w="2160"/>
            <w:tcMar>
              <w:top w:w="38" w:type="dxa"/>
              <w:start w:w="50" w:type="dxa"/>
              <w:bottom w:w="38" w:type="dxa"/>
              <w:end w:w="50" w:type="dxa"/>
            </w:tcMar>
            <w:vAlign w:val="top"/>
          </w:tcPr>
          <w:p>
            <w:pPr>
              <w:spacing w:after="0" w:before="0" w:line="240" w:lineRule="auto"/>
            </w:pPr>
            <w:r>
              <w:rPr>
                <w:sz w:val="14"/>
              </w:rPr>
              <w:t>BuyerRequest brouillon</w:t>
            </w:r>
          </w:p>
        </w:tc>
      </w:tr>
      <w:tr>
        <w:trPr>
          <w:cantSplit/>
        </w:trPr>
        <w:tc>
          <w:tcPr>
            <w:tcW w:type="dxa" w:w="504"/>
            <w:tcMar>
              <w:top w:w="38" w:type="dxa"/>
              <w:start w:w="50" w:type="dxa"/>
              <w:bottom w:w="38" w:type="dxa"/>
              <w:end w:w="50" w:type="dxa"/>
            </w:tcMar>
            <w:vAlign w:val="top"/>
            <w:shd w:fill="FAFAFA"/>
          </w:tcPr>
          <w:p>
            <w:pPr>
              <w:spacing w:after="0" w:before="0" w:line="240" w:lineRule="auto"/>
            </w:pPr>
            <w:r>
              <w:rPr>
                <w:sz w:val="14"/>
              </w:rPr>
              <w:t>02</w:t>
            </w:r>
          </w:p>
        </w:tc>
        <w:tc>
          <w:tcPr>
            <w:tcW w:type="dxa" w:w="1656"/>
            <w:tcMar>
              <w:top w:w="38" w:type="dxa"/>
              <w:start w:w="50" w:type="dxa"/>
              <w:bottom w:w="38" w:type="dxa"/>
              <w:end w:w="50" w:type="dxa"/>
            </w:tcMar>
            <w:vAlign w:val="top"/>
            <w:shd w:fill="FAFAFA"/>
          </w:tcPr>
          <w:p>
            <w:pPr>
              <w:spacing w:after="0" w:before="0" w:line="240" w:lineRule="auto"/>
            </w:pPr>
            <w:r>
              <w:rPr>
                <w:sz w:val="14"/>
              </w:rPr>
              <w:t>IA OSI</w:t>
            </w:r>
          </w:p>
        </w:tc>
        <w:tc>
          <w:tcPr>
            <w:tcW w:type="dxa" w:w="5112"/>
            <w:tcMar>
              <w:top w:w="38" w:type="dxa"/>
              <w:start w:w="50" w:type="dxa"/>
              <w:bottom w:w="38" w:type="dxa"/>
              <w:end w:w="50" w:type="dxa"/>
            </w:tcMar>
            <w:vAlign w:val="top"/>
            <w:shd w:fill="FAFAFA"/>
          </w:tcPr>
          <w:p>
            <w:pPr>
              <w:spacing w:after="0" w:before="0" w:line="240" w:lineRule="auto"/>
            </w:pPr>
            <w:r>
              <w:rPr>
                <w:sz w:val="14"/>
              </w:rPr>
              <w:t>Clarifie, reformule et structure les informations; pose les questions manquantes.</w:t>
            </w:r>
          </w:p>
        </w:tc>
        <w:tc>
          <w:tcPr>
            <w:tcW w:type="dxa" w:w="2160"/>
            <w:tcMar>
              <w:top w:w="38" w:type="dxa"/>
              <w:start w:w="50" w:type="dxa"/>
              <w:bottom w:w="38" w:type="dxa"/>
              <w:end w:w="50" w:type="dxa"/>
            </w:tcMar>
            <w:vAlign w:val="top"/>
            <w:shd w:fill="FAFAFA"/>
          </w:tcPr>
          <w:p>
            <w:pPr>
              <w:spacing w:after="0" w:before="0" w:line="240" w:lineRule="auto"/>
            </w:pPr>
            <w:r>
              <w:rPr>
                <w:sz w:val="14"/>
              </w:rPr>
              <w:t>BuyerRequest structuré</w:t>
            </w:r>
          </w:p>
        </w:tc>
      </w:tr>
      <w:tr>
        <w:trPr>
          <w:cantSplit/>
        </w:trPr>
        <w:tc>
          <w:tcPr>
            <w:tcW w:type="dxa" w:w="504"/>
            <w:tcMar>
              <w:top w:w="38" w:type="dxa"/>
              <w:start w:w="50" w:type="dxa"/>
              <w:bottom w:w="38" w:type="dxa"/>
              <w:end w:w="50" w:type="dxa"/>
            </w:tcMar>
            <w:vAlign w:val="top"/>
          </w:tcPr>
          <w:p>
            <w:pPr>
              <w:spacing w:after="0" w:before="0" w:line="240" w:lineRule="auto"/>
            </w:pPr>
            <w:r>
              <w:rPr>
                <w:sz w:val="14"/>
              </w:rPr>
              <w:t>03</w:t>
            </w:r>
          </w:p>
        </w:tc>
        <w:tc>
          <w:tcPr>
            <w:tcW w:type="dxa" w:w="1656"/>
            <w:tcMar>
              <w:top w:w="38" w:type="dxa"/>
              <w:start w:w="50" w:type="dxa"/>
              <w:bottom w:w="38" w:type="dxa"/>
              <w:end w:w="50" w:type="dxa"/>
            </w:tcMar>
            <w:vAlign w:val="top"/>
          </w:tcPr>
          <w:p>
            <w:pPr>
              <w:spacing w:after="0" w:before="0" w:line="240" w:lineRule="auto"/>
            </w:pPr>
            <w:r>
              <w:rPr>
                <w:sz w:val="14"/>
              </w:rPr>
              <w:t>OSI</w:t>
            </w:r>
          </w:p>
        </w:tc>
        <w:tc>
          <w:tcPr>
            <w:tcW w:type="dxa" w:w="5112"/>
            <w:tcMar>
              <w:top w:w="38" w:type="dxa"/>
              <w:start w:w="50" w:type="dxa"/>
              <w:bottom w:w="38" w:type="dxa"/>
              <w:end w:w="50" w:type="dxa"/>
            </w:tcMar>
            <w:vAlign w:val="top"/>
          </w:tcPr>
          <w:p>
            <w:pPr>
              <w:spacing w:after="0" w:before="0" w:line="240" w:lineRule="auto"/>
            </w:pPr>
            <w:r>
              <w:rPr>
                <w:sz w:val="14"/>
              </w:rPr>
              <w:t>Crée le cahier des charges et le profil KPI adapté à la demande.</w:t>
            </w:r>
          </w:p>
        </w:tc>
        <w:tc>
          <w:tcPr>
            <w:tcW w:type="dxa" w:w="2160"/>
            <w:tcMar>
              <w:top w:w="38" w:type="dxa"/>
              <w:start w:w="50" w:type="dxa"/>
              <w:bottom w:w="38" w:type="dxa"/>
              <w:end w:w="50" w:type="dxa"/>
            </w:tcMar>
            <w:vAlign w:val="top"/>
          </w:tcPr>
          <w:p>
            <w:pPr>
              <w:spacing w:after="0" w:before="0" w:line="240" w:lineRule="auto"/>
            </w:pPr>
            <w:r>
              <w:rPr>
                <w:sz w:val="14"/>
              </w:rPr>
              <w:t>Spec + KPIProfile v1</w:t>
            </w:r>
          </w:p>
        </w:tc>
      </w:tr>
      <w:tr>
        <w:trPr>
          <w:cantSplit/>
        </w:trPr>
        <w:tc>
          <w:tcPr>
            <w:tcW w:type="dxa" w:w="504"/>
            <w:tcMar>
              <w:top w:w="38" w:type="dxa"/>
              <w:start w:w="50" w:type="dxa"/>
              <w:bottom w:w="38" w:type="dxa"/>
              <w:end w:w="50" w:type="dxa"/>
            </w:tcMar>
            <w:vAlign w:val="top"/>
            <w:shd w:fill="FAFAFA"/>
          </w:tcPr>
          <w:p>
            <w:pPr>
              <w:spacing w:after="0" w:before="0" w:line="240" w:lineRule="auto"/>
            </w:pPr>
            <w:r>
              <w:rPr>
                <w:sz w:val="14"/>
              </w:rPr>
              <w:t>04</w:t>
            </w:r>
          </w:p>
        </w:tc>
        <w:tc>
          <w:tcPr>
            <w:tcW w:type="dxa" w:w="1656"/>
            <w:tcMar>
              <w:top w:w="38" w:type="dxa"/>
              <w:start w:w="50" w:type="dxa"/>
              <w:bottom w:w="38" w:type="dxa"/>
              <w:end w:w="50" w:type="dxa"/>
            </w:tcMar>
            <w:vAlign w:val="top"/>
            <w:shd w:fill="FAFAFA"/>
          </w:tcPr>
          <w:p>
            <w:pPr>
              <w:spacing w:after="0" w:before="0" w:line="240" w:lineRule="auto"/>
            </w:pPr>
            <w:r>
              <w:rPr>
                <w:sz w:val="14"/>
              </w:rPr>
              <w:t>Acheteur</w:t>
            </w:r>
          </w:p>
        </w:tc>
        <w:tc>
          <w:tcPr>
            <w:tcW w:type="dxa" w:w="5112"/>
            <w:tcMar>
              <w:top w:w="38" w:type="dxa"/>
              <w:start w:w="50" w:type="dxa"/>
              <w:bottom w:w="38" w:type="dxa"/>
              <w:end w:w="50" w:type="dxa"/>
            </w:tcMar>
            <w:vAlign w:val="top"/>
            <w:shd w:fill="FAFAFA"/>
          </w:tcPr>
          <w:p>
            <w:pPr>
              <w:spacing w:after="0" w:before="0" w:line="240" w:lineRule="auto"/>
            </w:pPr>
            <w:r>
              <w:rPr>
                <w:sz w:val="14"/>
              </w:rPr>
              <w:t>Valide que le cahier des charges représente son besoin.</w:t>
            </w:r>
          </w:p>
        </w:tc>
        <w:tc>
          <w:tcPr>
            <w:tcW w:type="dxa" w:w="2160"/>
            <w:tcMar>
              <w:top w:w="38" w:type="dxa"/>
              <w:start w:w="50" w:type="dxa"/>
              <w:bottom w:w="38" w:type="dxa"/>
              <w:end w:w="50" w:type="dxa"/>
            </w:tcMar>
            <w:vAlign w:val="top"/>
            <w:shd w:fill="FAFAFA"/>
          </w:tcPr>
          <w:p>
            <w:pPr>
              <w:spacing w:after="0" w:before="0" w:line="240" w:lineRule="auto"/>
            </w:pPr>
            <w:r>
              <w:rPr>
                <w:sz w:val="14"/>
              </w:rPr>
              <w:t>Request VALIDATED</w:t>
            </w:r>
          </w:p>
        </w:tc>
      </w:tr>
      <w:tr>
        <w:trPr>
          <w:cantSplit/>
        </w:trPr>
        <w:tc>
          <w:tcPr>
            <w:tcW w:type="dxa" w:w="504"/>
            <w:tcMar>
              <w:top w:w="38" w:type="dxa"/>
              <w:start w:w="50" w:type="dxa"/>
              <w:bottom w:w="38" w:type="dxa"/>
              <w:end w:w="50" w:type="dxa"/>
            </w:tcMar>
            <w:vAlign w:val="top"/>
          </w:tcPr>
          <w:p>
            <w:pPr>
              <w:spacing w:after="0" w:before="0" w:line="240" w:lineRule="auto"/>
            </w:pPr>
            <w:r>
              <w:rPr>
                <w:sz w:val="14"/>
              </w:rPr>
              <w:t>05</w:t>
            </w:r>
          </w:p>
        </w:tc>
        <w:tc>
          <w:tcPr>
            <w:tcW w:type="dxa" w:w="1656"/>
            <w:tcMar>
              <w:top w:w="38" w:type="dxa"/>
              <w:start w:w="50" w:type="dxa"/>
              <w:bottom w:w="38" w:type="dxa"/>
              <w:end w:w="50" w:type="dxa"/>
            </w:tcMar>
            <w:vAlign w:val="top"/>
          </w:tcPr>
          <w:p>
            <w:pPr>
              <w:spacing w:after="0" w:before="0" w:line="240" w:lineRule="auto"/>
            </w:pPr>
            <w:r>
              <w:rPr>
                <w:sz w:val="14"/>
              </w:rPr>
              <w:t>OSI</w:t>
            </w:r>
          </w:p>
        </w:tc>
        <w:tc>
          <w:tcPr>
            <w:tcW w:type="dxa" w:w="5112"/>
            <w:tcMar>
              <w:top w:w="38" w:type="dxa"/>
              <w:start w:w="50" w:type="dxa"/>
              <w:bottom w:w="38" w:type="dxa"/>
              <w:end w:w="50" w:type="dxa"/>
            </w:tcMar>
            <w:vAlign w:val="top"/>
          </w:tcPr>
          <w:p>
            <w:pPr>
              <w:spacing w:after="0" w:before="0" w:line="240" w:lineRule="auto"/>
            </w:pPr>
            <w:r>
              <w:rPr>
                <w:sz w:val="14"/>
              </w:rPr>
              <w:t>Lance la recherche : pool OSI en premier, puis web si nécessaire.</w:t>
            </w:r>
          </w:p>
        </w:tc>
        <w:tc>
          <w:tcPr>
            <w:tcW w:type="dxa" w:w="2160"/>
            <w:tcMar>
              <w:top w:w="38" w:type="dxa"/>
              <w:start w:w="50" w:type="dxa"/>
              <w:bottom w:w="38" w:type="dxa"/>
              <w:end w:w="50" w:type="dxa"/>
            </w:tcMar>
            <w:vAlign w:val="top"/>
          </w:tcPr>
          <w:p>
            <w:pPr>
              <w:spacing w:after="0" w:before="0" w:line="240" w:lineRule="auto"/>
            </w:pPr>
            <w:r>
              <w:rPr>
                <w:sz w:val="14"/>
              </w:rPr>
              <w:t>SupplierCandidate list</w:t>
            </w:r>
          </w:p>
        </w:tc>
      </w:tr>
      <w:tr>
        <w:trPr>
          <w:cantSplit/>
        </w:trPr>
        <w:tc>
          <w:tcPr>
            <w:tcW w:type="dxa" w:w="504"/>
            <w:tcMar>
              <w:top w:w="38" w:type="dxa"/>
              <w:start w:w="50" w:type="dxa"/>
              <w:bottom w:w="38" w:type="dxa"/>
              <w:end w:w="50" w:type="dxa"/>
            </w:tcMar>
            <w:vAlign w:val="top"/>
            <w:shd w:fill="FAFAFA"/>
          </w:tcPr>
          <w:p>
            <w:pPr>
              <w:spacing w:after="0" w:before="0" w:line="240" w:lineRule="auto"/>
            </w:pPr>
            <w:r>
              <w:rPr>
                <w:sz w:val="14"/>
              </w:rPr>
              <w:t>06</w:t>
            </w:r>
          </w:p>
        </w:tc>
        <w:tc>
          <w:tcPr>
            <w:tcW w:type="dxa" w:w="1656"/>
            <w:tcMar>
              <w:top w:w="38" w:type="dxa"/>
              <w:start w:w="50" w:type="dxa"/>
              <w:bottom w:w="38" w:type="dxa"/>
              <w:end w:w="50" w:type="dxa"/>
            </w:tcMar>
            <w:vAlign w:val="top"/>
            <w:shd w:fill="FAFAFA"/>
          </w:tcPr>
          <w:p>
            <w:pPr>
              <w:spacing w:after="0" w:before="0" w:line="240" w:lineRule="auto"/>
            </w:pPr>
            <w:r>
              <w:rPr>
                <w:sz w:val="14"/>
              </w:rPr>
              <w:t>OSI / IA</w:t>
            </w:r>
          </w:p>
        </w:tc>
        <w:tc>
          <w:tcPr>
            <w:tcW w:type="dxa" w:w="5112"/>
            <w:tcMar>
              <w:top w:w="38" w:type="dxa"/>
              <w:start w:w="50" w:type="dxa"/>
              <w:bottom w:w="38" w:type="dxa"/>
              <w:end w:w="50" w:type="dxa"/>
            </w:tcMar>
            <w:vAlign w:val="top"/>
            <w:shd w:fill="FAFAFA"/>
          </w:tcPr>
          <w:p>
            <w:pPr>
              <w:spacing w:after="0" w:before="0" w:line="240" w:lineRule="auto"/>
            </w:pPr>
            <w:r>
              <w:rPr>
                <w:sz w:val="14"/>
              </w:rPr>
              <w:t>Applique KPI #1 et élimine les candidats insuffisamment compatibles.</w:t>
            </w:r>
          </w:p>
        </w:tc>
        <w:tc>
          <w:tcPr>
            <w:tcW w:type="dxa" w:w="2160"/>
            <w:tcMar>
              <w:top w:w="38" w:type="dxa"/>
              <w:start w:w="50" w:type="dxa"/>
              <w:bottom w:w="38" w:type="dxa"/>
              <w:end w:w="50" w:type="dxa"/>
            </w:tcMar>
            <w:vAlign w:val="top"/>
            <w:shd w:fill="FAFAFA"/>
          </w:tcPr>
          <w:p>
            <w:pPr>
              <w:spacing w:after="0" w:before="0" w:line="240" w:lineRule="auto"/>
            </w:pPr>
            <w:r>
              <w:rPr>
                <w:sz w:val="14"/>
              </w:rPr>
              <w:t>Shortlist à solliciter</w:t>
            </w:r>
          </w:p>
        </w:tc>
      </w:tr>
      <w:tr>
        <w:trPr>
          <w:cantSplit/>
        </w:trPr>
        <w:tc>
          <w:tcPr>
            <w:tcW w:type="dxa" w:w="504"/>
            <w:tcMar>
              <w:top w:w="38" w:type="dxa"/>
              <w:start w:w="50" w:type="dxa"/>
              <w:bottom w:w="38" w:type="dxa"/>
              <w:end w:w="50" w:type="dxa"/>
            </w:tcMar>
            <w:vAlign w:val="top"/>
          </w:tcPr>
          <w:p>
            <w:pPr>
              <w:spacing w:after="0" w:before="0" w:line="240" w:lineRule="auto"/>
            </w:pPr>
            <w:r>
              <w:rPr>
                <w:sz w:val="14"/>
              </w:rPr>
              <w:t>07</w:t>
            </w:r>
          </w:p>
        </w:tc>
        <w:tc>
          <w:tcPr>
            <w:tcW w:type="dxa" w:w="1656"/>
            <w:tcMar>
              <w:top w:w="38" w:type="dxa"/>
              <w:start w:w="50" w:type="dxa"/>
              <w:bottom w:w="38" w:type="dxa"/>
              <w:end w:w="50" w:type="dxa"/>
            </w:tcMar>
            <w:vAlign w:val="top"/>
          </w:tcPr>
          <w:p>
            <w:pPr>
              <w:spacing w:after="0" w:before="0" w:line="240" w:lineRule="auto"/>
            </w:pPr>
            <w:r>
              <w:rPr>
                <w:sz w:val="14"/>
              </w:rPr>
              <w:t>OSI + fournisseurs</w:t>
            </w:r>
          </w:p>
        </w:tc>
        <w:tc>
          <w:tcPr>
            <w:tcW w:type="dxa" w:w="5112"/>
            <w:tcMar>
              <w:top w:w="38" w:type="dxa"/>
              <w:start w:w="50" w:type="dxa"/>
              <w:bottom w:w="38" w:type="dxa"/>
              <w:end w:w="50" w:type="dxa"/>
            </w:tcMar>
            <w:vAlign w:val="top"/>
          </w:tcPr>
          <w:p>
            <w:pPr>
              <w:spacing w:after="0" w:before="0" w:line="240" w:lineRule="auto"/>
            </w:pPr>
            <w:r>
              <w:rPr>
                <w:sz w:val="14"/>
              </w:rPr>
              <w:t>Envoie les RFQ, structure les réponses et retient les cinq meilleures soumissions.</w:t>
            </w:r>
          </w:p>
        </w:tc>
        <w:tc>
          <w:tcPr>
            <w:tcW w:type="dxa" w:w="2160"/>
            <w:tcMar>
              <w:top w:w="38" w:type="dxa"/>
              <w:start w:w="50" w:type="dxa"/>
              <w:bottom w:w="38" w:type="dxa"/>
              <w:end w:w="50" w:type="dxa"/>
            </w:tcMar>
            <w:vAlign w:val="top"/>
          </w:tcPr>
          <w:p>
            <w:pPr>
              <w:spacing w:after="0" w:before="0" w:line="240" w:lineRule="auto"/>
            </w:pPr>
            <w:r>
              <w:rPr>
                <w:sz w:val="14"/>
              </w:rPr>
              <w:t>Top 5 initial + Offers</w:t>
            </w:r>
          </w:p>
        </w:tc>
      </w:tr>
      <w:tr>
        <w:trPr>
          <w:cantSplit/>
        </w:trPr>
        <w:tc>
          <w:tcPr>
            <w:tcW w:type="dxa" w:w="504"/>
            <w:tcMar>
              <w:top w:w="38" w:type="dxa"/>
              <w:start w:w="50" w:type="dxa"/>
              <w:bottom w:w="38" w:type="dxa"/>
              <w:end w:w="50" w:type="dxa"/>
            </w:tcMar>
            <w:vAlign w:val="top"/>
            <w:shd w:fill="FAFAFA"/>
          </w:tcPr>
          <w:p>
            <w:pPr>
              <w:spacing w:after="0" w:before="0" w:line="240" w:lineRule="auto"/>
            </w:pPr>
            <w:r>
              <w:rPr>
                <w:sz w:val="14"/>
              </w:rPr>
              <w:t>08</w:t>
            </w:r>
          </w:p>
        </w:tc>
        <w:tc>
          <w:tcPr>
            <w:tcW w:type="dxa" w:w="1656"/>
            <w:tcMar>
              <w:top w:w="38" w:type="dxa"/>
              <w:start w:w="50" w:type="dxa"/>
              <w:bottom w:w="38" w:type="dxa"/>
              <w:end w:w="50" w:type="dxa"/>
            </w:tcMar>
            <w:vAlign w:val="top"/>
            <w:shd w:fill="FAFAFA"/>
          </w:tcPr>
          <w:p>
            <w:pPr>
              <w:spacing w:after="0" w:before="0" w:line="240" w:lineRule="auto"/>
            </w:pPr>
            <w:r>
              <w:rPr>
                <w:sz w:val="14"/>
              </w:rPr>
              <w:t>OSI + partenaires</w:t>
            </w:r>
          </w:p>
        </w:tc>
        <w:tc>
          <w:tcPr>
            <w:tcW w:type="dxa" w:w="5112"/>
            <w:tcMar>
              <w:top w:w="38" w:type="dxa"/>
              <w:start w:w="50" w:type="dxa"/>
              <w:bottom w:w="38" w:type="dxa"/>
              <w:end w:w="50" w:type="dxa"/>
            </w:tcMar>
            <w:vAlign w:val="top"/>
            <w:shd w:fill="FAFAFA"/>
          </w:tcPr>
          <w:p>
            <w:pPr>
              <w:spacing w:after="0" w:before="0" w:line="240" w:lineRule="auto"/>
            </w:pPr>
            <w:r>
              <w:rPr>
                <w:sz w:val="14"/>
              </w:rPr>
              <w:t>Envoie les 5 offres aux partenaires nécessaires pour coût, faisabilité, inspection, transport, douane, etc.</w:t>
            </w:r>
          </w:p>
        </w:tc>
        <w:tc>
          <w:tcPr>
            <w:tcW w:type="dxa" w:w="2160"/>
            <w:tcMar>
              <w:top w:w="38" w:type="dxa"/>
              <w:start w:w="50" w:type="dxa"/>
              <w:bottom w:w="38" w:type="dxa"/>
              <w:end w:w="50" w:type="dxa"/>
            </w:tcMar>
            <w:vAlign w:val="top"/>
            <w:shd w:fill="FAFAFA"/>
          </w:tcPr>
          <w:p>
            <w:pPr>
              <w:spacing w:after="0" w:before="0" w:line="240" w:lineRule="auto"/>
            </w:pPr>
            <w:r>
              <w:rPr>
                <w:sz w:val="14"/>
              </w:rPr>
              <w:t>PartnerEnrichment par offre</w:t>
            </w:r>
          </w:p>
        </w:tc>
      </w:tr>
      <w:tr>
        <w:trPr>
          <w:cantSplit/>
        </w:trPr>
        <w:tc>
          <w:tcPr>
            <w:tcW w:type="dxa" w:w="504"/>
            <w:tcMar>
              <w:top w:w="38" w:type="dxa"/>
              <w:start w:w="50" w:type="dxa"/>
              <w:bottom w:w="38" w:type="dxa"/>
              <w:end w:w="50" w:type="dxa"/>
            </w:tcMar>
            <w:vAlign w:val="top"/>
          </w:tcPr>
          <w:p>
            <w:pPr>
              <w:spacing w:after="0" w:before="0" w:line="240" w:lineRule="auto"/>
            </w:pPr>
            <w:r>
              <w:rPr>
                <w:sz w:val="14"/>
              </w:rPr>
              <w:t>09</w:t>
            </w:r>
          </w:p>
        </w:tc>
        <w:tc>
          <w:tcPr>
            <w:tcW w:type="dxa" w:w="1656"/>
            <w:tcMar>
              <w:top w:w="38" w:type="dxa"/>
              <w:start w:w="50" w:type="dxa"/>
              <w:bottom w:w="38" w:type="dxa"/>
              <w:end w:w="50" w:type="dxa"/>
            </w:tcMar>
            <w:vAlign w:val="top"/>
          </w:tcPr>
          <w:p>
            <w:pPr>
              <w:spacing w:after="0" w:before="0" w:line="240" w:lineRule="auto"/>
            </w:pPr>
            <w:r>
              <w:rPr>
                <w:sz w:val="14"/>
              </w:rPr>
              <w:t>OSI / IA</w:t>
            </w:r>
          </w:p>
        </w:tc>
        <w:tc>
          <w:tcPr>
            <w:tcW w:type="dxa" w:w="5112"/>
            <w:tcMar>
              <w:top w:w="38" w:type="dxa"/>
              <w:start w:w="50" w:type="dxa"/>
              <w:bottom w:w="38" w:type="dxa"/>
              <w:end w:w="50" w:type="dxa"/>
            </w:tcMar>
            <w:vAlign w:val="top"/>
          </w:tcPr>
          <w:p>
            <w:pPr>
              <w:spacing w:after="0" w:before="0" w:line="240" w:lineRule="auto"/>
            </w:pPr>
            <w:r>
              <w:rPr>
                <w:sz w:val="14"/>
              </w:rPr>
              <w:t>Applique KPI #2 avec coût total, risque et capacité réelle d’exécution.</w:t>
            </w:r>
          </w:p>
        </w:tc>
        <w:tc>
          <w:tcPr>
            <w:tcW w:type="dxa" w:w="2160"/>
            <w:tcMar>
              <w:top w:w="38" w:type="dxa"/>
              <w:start w:w="50" w:type="dxa"/>
              <w:bottom w:w="38" w:type="dxa"/>
              <w:end w:w="50" w:type="dxa"/>
            </w:tcMar>
            <w:vAlign w:val="top"/>
          </w:tcPr>
          <w:p>
            <w:pPr>
              <w:spacing w:after="0" w:before="0" w:line="240" w:lineRule="auto"/>
            </w:pPr>
            <w:r>
              <w:rPr>
                <w:sz w:val="14"/>
              </w:rPr>
              <w:t>Top 5 final reclassé</w:t>
            </w:r>
          </w:p>
        </w:tc>
      </w:tr>
      <w:tr>
        <w:trPr>
          <w:cantSplit/>
        </w:trPr>
        <w:tc>
          <w:tcPr>
            <w:tcW w:type="dxa" w:w="504"/>
            <w:tcMar>
              <w:top w:w="38" w:type="dxa"/>
              <w:start w:w="50" w:type="dxa"/>
              <w:bottom w:w="38" w:type="dxa"/>
              <w:end w:w="50" w:type="dxa"/>
            </w:tcMar>
            <w:vAlign w:val="top"/>
            <w:shd w:fill="FAFAFA"/>
          </w:tcPr>
          <w:p>
            <w:pPr>
              <w:spacing w:after="0" w:before="0" w:line="240" w:lineRule="auto"/>
            </w:pPr>
            <w:r>
              <w:rPr>
                <w:sz w:val="14"/>
              </w:rPr>
              <w:t>10</w:t>
            </w:r>
          </w:p>
        </w:tc>
        <w:tc>
          <w:tcPr>
            <w:tcW w:type="dxa" w:w="1656"/>
            <w:tcMar>
              <w:top w:w="38" w:type="dxa"/>
              <w:start w:w="50" w:type="dxa"/>
              <w:bottom w:w="38" w:type="dxa"/>
              <w:end w:w="50" w:type="dxa"/>
            </w:tcMar>
            <w:vAlign w:val="top"/>
            <w:shd w:fill="FAFAFA"/>
          </w:tcPr>
          <w:p>
            <w:pPr>
              <w:spacing w:after="0" w:before="0" w:line="240" w:lineRule="auto"/>
            </w:pPr>
            <w:r>
              <w:rPr>
                <w:sz w:val="14"/>
              </w:rPr>
              <w:t>OSI</w:t>
            </w:r>
          </w:p>
        </w:tc>
        <w:tc>
          <w:tcPr>
            <w:tcW w:type="dxa" w:w="5112"/>
            <w:tcMar>
              <w:top w:w="38" w:type="dxa"/>
              <w:start w:w="50" w:type="dxa"/>
              <w:bottom w:w="38" w:type="dxa"/>
              <w:end w:w="50" w:type="dxa"/>
            </w:tcMar>
            <w:vAlign w:val="top"/>
            <w:shd w:fill="FAFAFA"/>
          </w:tcPr>
          <w:p>
            <w:pPr>
              <w:spacing w:after="0" w:before="0" w:line="240" w:lineRule="auto"/>
            </w:pPr>
            <w:r>
              <w:rPr>
                <w:sz w:val="14"/>
              </w:rPr>
              <w:t>Présente le Decision Pack au client : comparaison, recommandation, risques et hypothèses.</w:t>
            </w:r>
          </w:p>
        </w:tc>
        <w:tc>
          <w:tcPr>
            <w:tcW w:type="dxa" w:w="2160"/>
            <w:tcMar>
              <w:top w:w="38" w:type="dxa"/>
              <w:start w:w="50" w:type="dxa"/>
              <w:bottom w:w="38" w:type="dxa"/>
              <w:end w:w="50" w:type="dxa"/>
            </w:tcMar>
            <w:vAlign w:val="top"/>
            <w:shd w:fill="FAFAFA"/>
          </w:tcPr>
          <w:p>
            <w:pPr>
              <w:spacing w:after="0" w:before="0" w:line="240" w:lineRule="auto"/>
            </w:pPr>
            <w:r>
              <w:rPr>
                <w:sz w:val="14"/>
              </w:rPr>
              <w:t>Decision Pack client</w:t>
            </w:r>
          </w:p>
        </w:tc>
      </w:tr>
      <w:tr>
        <w:trPr>
          <w:cantSplit/>
        </w:trPr>
        <w:tc>
          <w:tcPr>
            <w:tcW w:type="dxa" w:w="504"/>
            <w:tcMar>
              <w:top w:w="38" w:type="dxa"/>
              <w:start w:w="50" w:type="dxa"/>
              <w:bottom w:w="38" w:type="dxa"/>
              <w:end w:w="50" w:type="dxa"/>
            </w:tcMar>
            <w:vAlign w:val="top"/>
          </w:tcPr>
          <w:p>
            <w:pPr>
              <w:spacing w:after="0" w:before="0" w:line="240" w:lineRule="auto"/>
            </w:pPr>
            <w:r>
              <w:rPr>
                <w:sz w:val="14"/>
              </w:rPr>
              <w:t>11</w:t>
            </w:r>
          </w:p>
        </w:tc>
        <w:tc>
          <w:tcPr>
            <w:tcW w:type="dxa" w:w="1656"/>
            <w:tcMar>
              <w:top w:w="38" w:type="dxa"/>
              <w:start w:w="50" w:type="dxa"/>
              <w:bottom w:w="38" w:type="dxa"/>
              <w:end w:w="50" w:type="dxa"/>
            </w:tcMar>
            <w:vAlign w:val="top"/>
          </w:tcPr>
          <w:p>
            <w:pPr>
              <w:spacing w:after="0" w:before="0" w:line="240" w:lineRule="auto"/>
            </w:pPr>
            <w:r>
              <w:rPr>
                <w:sz w:val="14"/>
              </w:rPr>
              <w:t>Acheteur</w:t>
            </w:r>
          </w:p>
        </w:tc>
        <w:tc>
          <w:tcPr>
            <w:tcW w:type="dxa" w:w="5112"/>
            <w:tcMar>
              <w:top w:w="38" w:type="dxa"/>
              <w:start w:w="50" w:type="dxa"/>
              <w:bottom w:w="38" w:type="dxa"/>
              <w:end w:w="50" w:type="dxa"/>
            </w:tcMar>
            <w:vAlign w:val="top"/>
          </w:tcPr>
          <w:p>
            <w:pPr>
              <w:spacing w:after="0" w:before="0" w:line="240" w:lineRule="auto"/>
            </w:pPr>
            <w:r>
              <w:rPr>
                <w:sz w:val="14"/>
              </w:rPr>
              <w:t>Choisit le fournisseur; le choix peut différer de la recommandation OSI.</w:t>
            </w:r>
          </w:p>
        </w:tc>
        <w:tc>
          <w:tcPr>
            <w:tcW w:type="dxa" w:w="2160"/>
            <w:tcMar>
              <w:top w:w="38" w:type="dxa"/>
              <w:start w:w="50" w:type="dxa"/>
              <w:bottom w:w="38" w:type="dxa"/>
              <w:end w:w="50" w:type="dxa"/>
            </w:tcMar>
            <w:vAlign w:val="top"/>
          </w:tcPr>
          <w:p>
            <w:pPr>
              <w:spacing w:after="0" w:before="0" w:line="240" w:lineRule="auto"/>
            </w:pPr>
            <w:r>
              <w:rPr>
                <w:sz w:val="14"/>
              </w:rPr>
              <w:t>SelectedOffer</w:t>
            </w:r>
          </w:p>
        </w:tc>
      </w:tr>
      <w:tr>
        <w:trPr>
          <w:cantSplit/>
        </w:trPr>
        <w:tc>
          <w:tcPr>
            <w:tcW w:type="dxa" w:w="504"/>
            <w:tcMar>
              <w:top w:w="38" w:type="dxa"/>
              <w:start w:w="50" w:type="dxa"/>
              <w:bottom w:w="38" w:type="dxa"/>
              <w:end w:w="50" w:type="dxa"/>
            </w:tcMar>
            <w:vAlign w:val="top"/>
            <w:shd w:fill="FAFAFA"/>
          </w:tcPr>
          <w:p>
            <w:pPr>
              <w:spacing w:after="0" w:before="0" w:line="240" w:lineRule="auto"/>
            </w:pPr>
            <w:r>
              <w:rPr>
                <w:sz w:val="14"/>
              </w:rPr>
              <w:t>12</w:t>
            </w:r>
          </w:p>
        </w:tc>
        <w:tc>
          <w:tcPr>
            <w:tcW w:type="dxa" w:w="1656"/>
            <w:tcMar>
              <w:top w:w="38" w:type="dxa"/>
              <w:start w:w="50" w:type="dxa"/>
              <w:bottom w:w="38" w:type="dxa"/>
              <w:end w:w="50" w:type="dxa"/>
            </w:tcMar>
            <w:vAlign w:val="top"/>
            <w:shd w:fill="FAFAFA"/>
          </w:tcPr>
          <w:p>
            <w:pPr>
              <w:spacing w:after="0" w:before="0" w:line="240" w:lineRule="auto"/>
            </w:pPr>
            <w:r>
              <w:rPr>
                <w:sz w:val="14"/>
              </w:rPr>
              <w:t>OSI</w:t>
            </w:r>
          </w:p>
        </w:tc>
        <w:tc>
          <w:tcPr>
            <w:tcW w:type="dxa" w:w="5112"/>
            <w:tcMar>
              <w:top w:w="38" w:type="dxa"/>
              <w:start w:w="50" w:type="dxa"/>
              <w:bottom w:w="38" w:type="dxa"/>
              <w:end w:w="50" w:type="dxa"/>
            </w:tcMar>
            <w:vAlign w:val="top"/>
            <w:shd w:fill="FAFAFA"/>
          </w:tcPr>
          <w:p>
            <w:pPr>
              <w:spacing w:after="0" w:before="0" w:line="240" w:lineRule="auto"/>
            </w:pPr>
            <w:r>
              <w:rPr>
                <w:sz w:val="14"/>
              </w:rPr>
              <w:t>Valide/envoie la commande, fige les conditions et ouvre le dossier transactionnel.</w:t>
            </w:r>
          </w:p>
        </w:tc>
        <w:tc>
          <w:tcPr>
            <w:tcW w:type="dxa" w:w="2160"/>
            <w:tcMar>
              <w:top w:w="38" w:type="dxa"/>
              <w:start w:w="50" w:type="dxa"/>
              <w:bottom w:w="38" w:type="dxa"/>
              <w:end w:w="50" w:type="dxa"/>
            </w:tcMar>
            <w:vAlign w:val="top"/>
            <w:shd w:fill="FAFAFA"/>
          </w:tcPr>
          <w:p>
            <w:pPr>
              <w:spacing w:after="0" w:before="0" w:line="240" w:lineRule="auto"/>
            </w:pPr>
            <w:r>
              <w:rPr>
                <w:sz w:val="14"/>
              </w:rPr>
              <w:t>Deal OPEN</w:t>
            </w:r>
          </w:p>
        </w:tc>
      </w:tr>
    </w:tbl>
    <w:p>
      <w:pPr>
        <w:spacing w:after="0" w:before="0"/>
      </w:pPr>
    </w:p>
    <w:p>
      <w:pPr>
        <w:pStyle w:val="Heading2"/>
        <w:keepNext/>
        <w:keepNext/>
      </w:pPr>
      <w:r>
        <w:t>B. Après la commande : cible d’exécution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576"/>
            <w:shd w:fill="111111"/>
            <w:tcMar>
              <w:top w:w="38" w:type="dxa"/>
              <w:start w:w="50" w:type="dxa"/>
              <w:bottom w:w="38" w:type="dxa"/>
              <w:end w:w="50" w:type="dxa"/>
            </w:tcMar>
          </w:tcPr>
          <w:p>
            <w:pPr>
              <w:spacing w:after="0" w:before="0" w:line="240" w:lineRule="auto"/>
            </w:pPr>
            <w:r>
              <w:rPr>
                <w:b/>
                <w:color w:val="FFFFFF"/>
                <w:sz w:val="15"/>
              </w:rPr>
              <w:t>#</w:t>
            </w:r>
          </w:p>
        </w:tc>
        <w:tc>
          <w:tcPr>
            <w:tcW w:type="dxa" w:w="2592"/>
            <w:shd w:fill="111111"/>
            <w:tcMar>
              <w:top w:w="38" w:type="dxa"/>
              <w:start w:w="50" w:type="dxa"/>
              <w:bottom w:w="38" w:type="dxa"/>
              <w:end w:w="50" w:type="dxa"/>
            </w:tcMar>
          </w:tcPr>
          <w:p>
            <w:pPr>
              <w:spacing w:after="0" w:before="0" w:line="240" w:lineRule="auto"/>
            </w:pPr>
            <w:r>
              <w:rPr>
                <w:b/>
                <w:color w:val="FFFFFF"/>
                <w:sz w:val="15"/>
              </w:rPr>
              <w:t>Module</w:t>
            </w:r>
          </w:p>
        </w:tc>
        <w:tc>
          <w:tcPr>
            <w:tcW w:type="dxa" w:w="6552"/>
            <w:shd w:fill="111111"/>
            <w:tcMar>
              <w:top w:w="38" w:type="dxa"/>
              <w:start w:w="50" w:type="dxa"/>
              <w:bottom w:w="38" w:type="dxa"/>
              <w:end w:w="50" w:type="dxa"/>
            </w:tcMar>
          </w:tcPr>
          <w:p>
            <w:pPr>
              <w:spacing w:after="0" w:before="0" w:line="240" w:lineRule="auto"/>
            </w:pPr>
            <w:r>
              <w:rPr>
                <w:b/>
                <w:color w:val="FFFFFF"/>
                <w:sz w:val="15"/>
              </w:rPr>
              <w:t>Résultat attendu</w:t>
            </w:r>
          </w:p>
        </w:tc>
      </w:tr>
      <w:tr>
        <w:trPr>
          <w:cantSplit/>
        </w:trPr>
        <w:tc>
          <w:tcPr>
            <w:tcW w:type="dxa" w:w="576"/>
            <w:tcMar>
              <w:top w:w="38" w:type="dxa"/>
              <w:start w:w="50" w:type="dxa"/>
              <w:bottom w:w="38" w:type="dxa"/>
              <w:end w:w="50" w:type="dxa"/>
            </w:tcMar>
            <w:vAlign w:val="top"/>
          </w:tcPr>
          <w:p>
            <w:pPr>
              <w:spacing w:after="0" w:before="0" w:line="240" w:lineRule="auto"/>
            </w:pPr>
            <w:r>
              <w:rPr>
                <w:sz w:val="15"/>
              </w:rPr>
              <w:t>13</w:t>
            </w:r>
          </w:p>
        </w:tc>
        <w:tc>
          <w:tcPr>
            <w:tcW w:type="dxa" w:w="2592"/>
            <w:tcMar>
              <w:top w:w="38" w:type="dxa"/>
              <w:start w:w="50" w:type="dxa"/>
              <w:bottom w:w="38" w:type="dxa"/>
              <w:end w:w="50" w:type="dxa"/>
            </w:tcMar>
            <w:vAlign w:val="top"/>
          </w:tcPr>
          <w:p>
            <w:pPr>
              <w:spacing w:after="0" w:before="0" w:line="240" w:lineRule="auto"/>
            </w:pPr>
            <w:r>
              <w:rPr>
                <w:sz w:val="15"/>
              </w:rPr>
              <w:t>Transaction Room</w:t>
            </w:r>
          </w:p>
        </w:tc>
        <w:tc>
          <w:tcPr>
            <w:tcW w:type="dxa" w:w="6552"/>
            <w:tcMar>
              <w:top w:w="38" w:type="dxa"/>
              <w:start w:w="50" w:type="dxa"/>
              <w:bottom w:w="38" w:type="dxa"/>
              <w:end w:w="50" w:type="dxa"/>
            </w:tcMar>
            <w:vAlign w:val="top"/>
          </w:tcPr>
          <w:p>
            <w:pPr>
              <w:spacing w:after="0" w:before="0" w:line="240" w:lineRule="auto"/>
            </w:pPr>
            <w:r>
              <w:rPr>
                <w:sz w:val="15"/>
              </w:rPr>
              <w:t>Centraliser parties, offre choisie, documents, partenaires et conditions.</w:t>
            </w:r>
          </w:p>
        </w:tc>
      </w:tr>
      <w:tr>
        <w:trPr>
          <w:cantSplit/>
        </w:trPr>
        <w:tc>
          <w:tcPr>
            <w:tcW w:type="dxa" w:w="576"/>
            <w:tcMar>
              <w:top w:w="38" w:type="dxa"/>
              <w:start w:w="50" w:type="dxa"/>
              <w:bottom w:w="38" w:type="dxa"/>
              <w:end w:w="50" w:type="dxa"/>
            </w:tcMar>
            <w:vAlign w:val="top"/>
            <w:shd w:fill="FAFAFA"/>
          </w:tcPr>
          <w:p>
            <w:pPr>
              <w:spacing w:after="0" w:before="0" w:line="240" w:lineRule="auto"/>
            </w:pPr>
            <w:r>
              <w:rPr>
                <w:sz w:val="15"/>
              </w:rPr>
              <w:t>14</w:t>
            </w:r>
          </w:p>
        </w:tc>
        <w:tc>
          <w:tcPr>
            <w:tcW w:type="dxa" w:w="2592"/>
            <w:tcMar>
              <w:top w:w="38" w:type="dxa"/>
              <w:start w:w="50" w:type="dxa"/>
              <w:bottom w:w="38" w:type="dxa"/>
              <w:end w:w="50" w:type="dxa"/>
            </w:tcMar>
            <w:vAlign w:val="top"/>
            <w:shd w:fill="FAFAFA"/>
          </w:tcPr>
          <w:p>
            <w:pPr>
              <w:spacing w:after="0" w:before="0" w:line="240" w:lineRule="auto"/>
            </w:pPr>
            <w:r>
              <w:rPr>
                <w:sz w:val="15"/>
              </w:rPr>
              <w:t>Contrats / signatures</w:t>
            </w:r>
          </w:p>
        </w:tc>
        <w:tc>
          <w:tcPr>
            <w:tcW w:type="dxa" w:w="6552"/>
            <w:tcMar>
              <w:top w:w="38" w:type="dxa"/>
              <w:start w:w="50" w:type="dxa"/>
              <w:bottom w:w="38" w:type="dxa"/>
              <w:end w:w="50" w:type="dxa"/>
            </w:tcMar>
            <w:vAlign w:val="top"/>
            <w:shd w:fill="FAFAFA"/>
          </w:tcPr>
          <w:p>
            <w:pPr>
              <w:spacing w:after="0" w:before="0" w:line="240" w:lineRule="auto"/>
            </w:pPr>
            <w:r>
              <w:rPr>
                <w:sz w:val="15"/>
              </w:rPr>
              <w:t>Versionner et recueillir les documents contractuels requis.</w:t>
            </w:r>
          </w:p>
        </w:tc>
      </w:tr>
      <w:tr>
        <w:trPr>
          <w:cantSplit/>
        </w:trPr>
        <w:tc>
          <w:tcPr>
            <w:tcW w:type="dxa" w:w="576"/>
            <w:tcMar>
              <w:top w:w="38" w:type="dxa"/>
              <w:start w:w="50" w:type="dxa"/>
              <w:bottom w:w="38" w:type="dxa"/>
              <w:end w:w="50" w:type="dxa"/>
            </w:tcMar>
            <w:vAlign w:val="top"/>
          </w:tcPr>
          <w:p>
            <w:pPr>
              <w:spacing w:after="0" w:before="0" w:line="240" w:lineRule="auto"/>
            </w:pPr>
            <w:r>
              <w:rPr>
                <w:sz w:val="15"/>
              </w:rPr>
              <w:t>15</w:t>
            </w:r>
          </w:p>
        </w:tc>
        <w:tc>
          <w:tcPr>
            <w:tcW w:type="dxa" w:w="2592"/>
            <w:tcMar>
              <w:top w:w="38" w:type="dxa"/>
              <w:start w:w="50" w:type="dxa"/>
              <w:bottom w:w="38" w:type="dxa"/>
              <w:end w:w="50" w:type="dxa"/>
            </w:tcMar>
            <w:vAlign w:val="top"/>
          </w:tcPr>
          <w:p>
            <w:pPr>
              <w:spacing w:after="0" w:before="0" w:line="240" w:lineRule="auto"/>
            </w:pPr>
            <w:r>
              <w:rPr>
                <w:sz w:val="15"/>
              </w:rPr>
              <w:t>Globex</w:t>
            </w:r>
          </w:p>
        </w:tc>
        <w:tc>
          <w:tcPr>
            <w:tcW w:type="dxa" w:w="6552"/>
            <w:tcMar>
              <w:top w:w="38" w:type="dxa"/>
              <w:start w:w="50" w:type="dxa"/>
              <w:bottom w:w="38" w:type="dxa"/>
              <w:end w:w="50" w:type="dxa"/>
            </w:tcMar>
            <w:vAlign w:val="top"/>
          </w:tcPr>
          <w:p>
            <w:pPr>
              <w:spacing w:after="0" w:before="0" w:line="240" w:lineRule="auto"/>
            </w:pPr>
            <w:r>
              <w:rPr>
                <w:sz w:val="15"/>
              </w:rPr>
              <w:t>KYC, documents, financement/dépôt et règlement : Globex traite le montant global puis répartit la portion fournisseur et les honoraires OSI selon les instructions contractuelles autorisées.</w:t>
            </w:r>
          </w:p>
        </w:tc>
      </w:tr>
      <w:tr>
        <w:trPr>
          <w:cantSplit/>
        </w:trPr>
        <w:tc>
          <w:tcPr>
            <w:tcW w:type="dxa" w:w="576"/>
            <w:tcMar>
              <w:top w:w="38" w:type="dxa"/>
              <w:start w:w="50" w:type="dxa"/>
              <w:bottom w:w="38" w:type="dxa"/>
              <w:end w:w="50" w:type="dxa"/>
            </w:tcMar>
            <w:vAlign w:val="top"/>
            <w:shd w:fill="FAFAFA"/>
          </w:tcPr>
          <w:p>
            <w:pPr>
              <w:spacing w:after="0" w:before="0" w:line="240" w:lineRule="auto"/>
            </w:pPr>
            <w:r>
              <w:rPr>
                <w:sz w:val="15"/>
              </w:rPr>
              <w:t>16</w:t>
            </w:r>
          </w:p>
        </w:tc>
        <w:tc>
          <w:tcPr>
            <w:tcW w:type="dxa" w:w="2592"/>
            <w:tcMar>
              <w:top w:w="38" w:type="dxa"/>
              <w:start w:w="50" w:type="dxa"/>
              <w:bottom w:w="38" w:type="dxa"/>
              <w:end w:w="50" w:type="dxa"/>
            </w:tcMar>
            <w:vAlign w:val="top"/>
            <w:shd w:fill="FAFAFA"/>
          </w:tcPr>
          <w:p>
            <w:pPr>
              <w:spacing w:after="0" w:before="0" w:line="240" w:lineRule="auto"/>
            </w:pPr>
            <w:r>
              <w:rPr>
                <w:sz w:val="15"/>
              </w:rPr>
              <w:t>Production</w:t>
            </w:r>
          </w:p>
        </w:tc>
        <w:tc>
          <w:tcPr>
            <w:tcW w:type="dxa" w:w="6552"/>
            <w:tcMar>
              <w:top w:w="38" w:type="dxa"/>
              <w:start w:w="50" w:type="dxa"/>
              <w:bottom w:w="38" w:type="dxa"/>
              <w:end w:w="50" w:type="dxa"/>
            </w:tcMar>
            <w:vAlign w:val="top"/>
            <w:shd w:fill="FAFAFA"/>
          </w:tcPr>
          <w:p>
            <w:pPr>
              <w:spacing w:after="0" w:before="0" w:line="240" w:lineRule="auto"/>
            </w:pPr>
            <w:r>
              <w:rPr>
                <w:sz w:val="15"/>
              </w:rPr>
              <w:t>Milestones, preuves, changements et délais.</w:t>
            </w:r>
          </w:p>
        </w:tc>
      </w:tr>
      <w:tr>
        <w:trPr>
          <w:cantSplit/>
        </w:trPr>
        <w:tc>
          <w:tcPr>
            <w:tcW w:type="dxa" w:w="576"/>
            <w:tcMar>
              <w:top w:w="38" w:type="dxa"/>
              <w:start w:w="50" w:type="dxa"/>
              <w:bottom w:w="38" w:type="dxa"/>
              <w:end w:w="50" w:type="dxa"/>
            </w:tcMar>
            <w:vAlign w:val="top"/>
          </w:tcPr>
          <w:p>
            <w:pPr>
              <w:spacing w:after="0" w:before="0" w:line="240" w:lineRule="auto"/>
            </w:pPr>
            <w:r>
              <w:rPr>
                <w:sz w:val="15"/>
              </w:rPr>
              <w:t>17</w:t>
            </w:r>
          </w:p>
        </w:tc>
        <w:tc>
          <w:tcPr>
            <w:tcW w:type="dxa" w:w="2592"/>
            <w:tcMar>
              <w:top w:w="38" w:type="dxa"/>
              <w:start w:w="50" w:type="dxa"/>
              <w:bottom w:w="38" w:type="dxa"/>
              <w:end w:w="50" w:type="dxa"/>
            </w:tcMar>
            <w:vAlign w:val="top"/>
          </w:tcPr>
          <w:p>
            <w:pPr>
              <w:spacing w:after="0" w:before="0" w:line="240" w:lineRule="auto"/>
            </w:pPr>
            <w:r>
              <w:rPr>
                <w:sz w:val="15"/>
              </w:rPr>
              <w:t>Inspection / conformité</w:t>
            </w:r>
          </w:p>
        </w:tc>
        <w:tc>
          <w:tcPr>
            <w:tcW w:type="dxa" w:w="6552"/>
            <w:tcMar>
              <w:top w:w="38" w:type="dxa"/>
              <w:start w:w="50" w:type="dxa"/>
              <w:bottom w:w="38" w:type="dxa"/>
              <w:end w:w="50" w:type="dxa"/>
            </w:tcMar>
            <w:vAlign w:val="top"/>
          </w:tcPr>
          <w:p>
            <w:pPr>
              <w:spacing w:after="0" w:before="0" w:line="240" w:lineRule="auto"/>
            </w:pPr>
            <w:r>
              <w:rPr>
                <w:sz w:val="15"/>
              </w:rPr>
              <w:t>Inspection SGS ou autre, rapport, écarts et résolution.</w:t>
            </w:r>
          </w:p>
        </w:tc>
      </w:tr>
      <w:tr>
        <w:trPr>
          <w:cantSplit/>
        </w:trPr>
        <w:tc>
          <w:tcPr>
            <w:tcW w:type="dxa" w:w="576"/>
            <w:tcMar>
              <w:top w:w="38" w:type="dxa"/>
              <w:start w:w="50" w:type="dxa"/>
              <w:bottom w:w="38" w:type="dxa"/>
              <w:end w:w="50" w:type="dxa"/>
            </w:tcMar>
            <w:vAlign w:val="top"/>
            <w:shd w:fill="FAFAFA"/>
          </w:tcPr>
          <w:p>
            <w:pPr>
              <w:spacing w:after="0" w:before="0" w:line="240" w:lineRule="auto"/>
            </w:pPr>
            <w:r>
              <w:rPr>
                <w:sz w:val="15"/>
              </w:rPr>
              <w:t>18</w:t>
            </w:r>
          </w:p>
        </w:tc>
        <w:tc>
          <w:tcPr>
            <w:tcW w:type="dxa" w:w="2592"/>
            <w:tcMar>
              <w:top w:w="38" w:type="dxa"/>
              <w:start w:w="50" w:type="dxa"/>
              <w:bottom w:w="38" w:type="dxa"/>
              <w:end w:w="50" w:type="dxa"/>
            </w:tcMar>
            <w:vAlign w:val="top"/>
            <w:shd w:fill="FAFAFA"/>
          </w:tcPr>
          <w:p>
            <w:pPr>
              <w:spacing w:after="0" w:before="0" w:line="240" w:lineRule="auto"/>
            </w:pPr>
            <w:r>
              <w:rPr>
                <w:sz w:val="15"/>
              </w:rPr>
              <w:t>Transport / douanes</w:t>
            </w:r>
          </w:p>
        </w:tc>
        <w:tc>
          <w:tcPr>
            <w:tcW w:type="dxa" w:w="6552"/>
            <w:tcMar>
              <w:top w:w="38" w:type="dxa"/>
              <w:start w:w="50" w:type="dxa"/>
              <w:bottom w:w="38" w:type="dxa"/>
              <w:end w:w="50" w:type="dxa"/>
            </w:tcMar>
            <w:vAlign w:val="top"/>
            <w:shd w:fill="FAFAFA"/>
          </w:tcPr>
          <w:p>
            <w:pPr>
              <w:spacing w:after="0" w:before="0" w:line="240" w:lineRule="auto"/>
            </w:pPr>
            <w:r>
              <w:rPr>
                <w:sz w:val="15"/>
              </w:rPr>
              <w:t>Booking, documents, transit, dédouanement et statuts.</w:t>
            </w:r>
          </w:p>
        </w:tc>
      </w:tr>
      <w:tr>
        <w:trPr>
          <w:cantSplit/>
        </w:trPr>
        <w:tc>
          <w:tcPr>
            <w:tcW w:type="dxa" w:w="576"/>
            <w:tcMar>
              <w:top w:w="38" w:type="dxa"/>
              <w:start w:w="50" w:type="dxa"/>
              <w:bottom w:w="38" w:type="dxa"/>
              <w:end w:w="50" w:type="dxa"/>
            </w:tcMar>
            <w:vAlign w:val="top"/>
          </w:tcPr>
          <w:p>
            <w:pPr>
              <w:spacing w:after="0" w:before="0" w:line="240" w:lineRule="auto"/>
            </w:pPr>
            <w:r>
              <w:rPr>
                <w:sz w:val="15"/>
              </w:rPr>
              <w:t>19</w:t>
            </w:r>
          </w:p>
        </w:tc>
        <w:tc>
          <w:tcPr>
            <w:tcW w:type="dxa" w:w="2592"/>
            <w:tcMar>
              <w:top w:w="38" w:type="dxa"/>
              <w:start w:w="50" w:type="dxa"/>
              <w:bottom w:w="38" w:type="dxa"/>
              <w:end w:w="50" w:type="dxa"/>
            </w:tcMar>
            <w:vAlign w:val="top"/>
          </w:tcPr>
          <w:p>
            <w:pPr>
              <w:spacing w:after="0" w:before="0" w:line="240" w:lineRule="auto"/>
            </w:pPr>
            <w:r>
              <w:rPr>
                <w:sz w:val="15"/>
              </w:rPr>
              <w:t>Réception</w:t>
            </w:r>
          </w:p>
        </w:tc>
        <w:tc>
          <w:tcPr>
            <w:tcW w:type="dxa" w:w="6552"/>
            <w:tcMar>
              <w:top w:w="38" w:type="dxa"/>
              <w:start w:w="50" w:type="dxa"/>
              <w:bottom w:w="38" w:type="dxa"/>
              <w:end w:w="50" w:type="dxa"/>
            </w:tcMar>
            <w:vAlign w:val="top"/>
          </w:tcPr>
          <w:p>
            <w:pPr>
              <w:spacing w:after="0" w:before="0" w:line="240" w:lineRule="auto"/>
            </w:pPr>
            <w:r>
              <w:rPr>
                <w:sz w:val="15"/>
              </w:rPr>
              <w:t>Le client confirme la réception et signale tout écart ou litige.</w:t>
            </w:r>
          </w:p>
        </w:tc>
      </w:tr>
      <w:tr>
        <w:trPr>
          <w:cantSplit/>
        </w:trPr>
        <w:tc>
          <w:tcPr>
            <w:tcW w:type="dxa" w:w="576"/>
            <w:tcMar>
              <w:top w:w="38" w:type="dxa"/>
              <w:start w:w="50" w:type="dxa"/>
              <w:bottom w:w="38" w:type="dxa"/>
              <w:end w:w="50" w:type="dxa"/>
            </w:tcMar>
            <w:vAlign w:val="top"/>
            <w:shd w:fill="FAFAFA"/>
          </w:tcPr>
          <w:p>
            <w:pPr>
              <w:spacing w:after="0" w:before="0" w:line="240" w:lineRule="auto"/>
            </w:pPr>
            <w:r>
              <w:rPr>
                <w:sz w:val="15"/>
              </w:rPr>
              <w:t>20</w:t>
            </w:r>
          </w:p>
        </w:tc>
        <w:tc>
          <w:tcPr>
            <w:tcW w:type="dxa" w:w="2592"/>
            <w:tcMar>
              <w:top w:w="38" w:type="dxa"/>
              <w:start w:w="50" w:type="dxa"/>
              <w:bottom w:w="38" w:type="dxa"/>
              <w:end w:w="50" w:type="dxa"/>
            </w:tcMar>
            <w:vAlign w:val="top"/>
            <w:shd w:fill="FAFAFA"/>
          </w:tcPr>
          <w:p>
            <w:pPr>
              <w:spacing w:after="0" w:before="0" w:line="240" w:lineRule="auto"/>
            </w:pPr>
            <w:r>
              <w:rPr>
                <w:sz w:val="15"/>
              </w:rPr>
              <w:t>Clôture / mémoire</w:t>
            </w:r>
          </w:p>
        </w:tc>
        <w:tc>
          <w:tcPr>
            <w:tcW w:type="dxa" w:w="6552"/>
            <w:tcMar>
              <w:top w:w="38" w:type="dxa"/>
              <w:start w:w="50" w:type="dxa"/>
              <w:bottom w:w="38" w:type="dxa"/>
              <w:end w:w="50" w:type="dxa"/>
            </w:tcMar>
            <w:vAlign w:val="top"/>
            <w:shd w:fill="FAFAFA"/>
          </w:tcPr>
          <w:p>
            <w:pPr>
              <w:spacing w:after="0" w:before="0" w:line="240" w:lineRule="auto"/>
            </w:pPr>
            <w:r>
              <w:rPr>
                <w:sz w:val="15"/>
              </w:rPr>
              <w:t>Enregistrer le résultat réel et enrichir la performance fournisseur/partenaires.</w:t>
            </w:r>
          </w:p>
        </w:tc>
      </w:tr>
    </w:tbl>
    <w:p>
      <w:pPr>
        <w:spacing w:after="0" w:before="0"/>
      </w:pPr>
    </w:p>
    <w:p>
      <w:pPr>
        <w:pStyle w:val="Heading1"/>
        <w:keepNext/>
        <w:keepNext/>
      </w:pPr>
      <w:r>
        <w:t>4. Moteur de décision : du fournisseur à la transaction</w:t>
      </w:r>
    </w:p>
    <w:p>
      <w:pPr>
        <w:pStyle w:val="SectionSubtitle"/>
      </w:pPr>
      <w:r>
        <w:t>Le double KPI évite de confondre “bon fournisseur” et “bonne transaction”. Le Top 5 initial est interne; le Top 5 final est le produit décisionnel remis au client.</w:t>
      </w:r>
    </w:p>
    <w:p>
      <w:pPr>
        <w:pStyle w:val="Heading2"/>
        <w:keepNext/>
        <w:keepNext/>
      </w:pPr>
      <w:r>
        <w:t>KPI #1 — Supplier Fit</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160"/>
            <w:shd w:fill="111111"/>
            <w:tcMar>
              <w:top w:w="38" w:type="dxa"/>
              <w:start w:w="50" w:type="dxa"/>
              <w:bottom w:w="38" w:type="dxa"/>
              <w:end w:w="50" w:type="dxa"/>
            </w:tcMar>
          </w:tcPr>
          <w:p>
            <w:pPr>
              <w:spacing w:after="0" w:before="0" w:line="240" w:lineRule="auto"/>
            </w:pPr>
            <w:r>
              <w:rPr>
                <w:b/>
                <w:color w:val="FFFFFF"/>
                <w:sz w:val="15"/>
              </w:rPr>
              <w:t>Dimension</w:t>
            </w:r>
          </w:p>
        </w:tc>
        <w:tc>
          <w:tcPr>
            <w:tcW w:type="dxa" w:w="4320"/>
            <w:shd w:fill="111111"/>
            <w:tcMar>
              <w:top w:w="38" w:type="dxa"/>
              <w:start w:w="50" w:type="dxa"/>
              <w:bottom w:w="38" w:type="dxa"/>
              <w:end w:w="50" w:type="dxa"/>
            </w:tcMar>
          </w:tcPr>
          <w:p>
            <w:pPr>
              <w:spacing w:after="0" w:before="0" w:line="240" w:lineRule="auto"/>
            </w:pPr>
            <w:r>
              <w:rPr>
                <w:b/>
                <w:color w:val="FFFFFF"/>
                <w:sz w:val="15"/>
              </w:rPr>
              <w:t>Ce qui est évalué</w:t>
            </w:r>
          </w:p>
        </w:tc>
        <w:tc>
          <w:tcPr>
            <w:tcW w:type="dxa" w:w="2880"/>
            <w:shd w:fill="111111"/>
            <w:tcMar>
              <w:top w:w="38" w:type="dxa"/>
              <w:start w:w="50" w:type="dxa"/>
              <w:bottom w:w="38" w:type="dxa"/>
              <w:end w:w="50" w:type="dxa"/>
            </w:tcMar>
          </w:tcPr>
          <w:p>
            <w:pPr>
              <w:spacing w:after="0" w:before="0" w:line="240" w:lineRule="auto"/>
            </w:pPr>
            <w:r>
              <w:rPr>
                <w:b/>
                <w:color w:val="FFFFFF"/>
                <w:sz w:val="15"/>
              </w:rPr>
              <w:t>Source principale</w:t>
            </w:r>
          </w:p>
        </w:tc>
      </w:tr>
      <w:tr>
        <w:trPr>
          <w:cantSplit/>
        </w:trPr>
        <w:tc>
          <w:tcPr>
            <w:tcW w:type="dxa" w:w="2160"/>
            <w:tcMar>
              <w:top w:w="38" w:type="dxa"/>
              <w:start w:w="50" w:type="dxa"/>
              <w:bottom w:w="38" w:type="dxa"/>
              <w:end w:w="50" w:type="dxa"/>
            </w:tcMar>
            <w:vAlign w:val="top"/>
          </w:tcPr>
          <w:p>
            <w:pPr>
              <w:spacing w:after="0" w:before="0" w:line="240" w:lineRule="auto"/>
            </w:pPr>
            <w:r>
              <w:rPr>
                <w:sz w:val="15"/>
              </w:rPr>
              <w:t>Compatibilité produit</w:t>
            </w:r>
          </w:p>
        </w:tc>
        <w:tc>
          <w:tcPr>
            <w:tcW w:type="dxa" w:w="4320"/>
            <w:tcMar>
              <w:top w:w="38" w:type="dxa"/>
              <w:start w:w="50" w:type="dxa"/>
              <w:bottom w:w="38" w:type="dxa"/>
              <w:end w:w="50" w:type="dxa"/>
            </w:tcMar>
            <w:vAlign w:val="top"/>
          </w:tcPr>
          <w:p>
            <w:pPr>
              <w:spacing w:after="0" w:before="0" w:line="240" w:lineRule="auto"/>
            </w:pPr>
            <w:r>
              <w:rPr>
                <w:sz w:val="15"/>
              </w:rPr>
              <w:t>Spécifications, matériau, variante, quantité, personnalisation</w:t>
            </w:r>
          </w:p>
        </w:tc>
        <w:tc>
          <w:tcPr>
            <w:tcW w:type="dxa" w:w="2880"/>
            <w:tcMar>
              <w:top w:w="38" w:type="dxa"/>
              <w:start w:w="50" w:type="dxa"/>
              <w:bottom w:w="38" w:type="dxa"/>
              <w:end w:w="50" w:type="dxa"/>
            </w:tcMar>
            <w:vAlign w:val="top"/>
          </w:tcPr>
          <w:p>
            <w:pPr>
              <w:spacing w:after="0" w:before="0" w:line="240" w:lineRule="auto"/>
            </w:pPr>
            <w:r>
              <w:rPr>
                <w:sz w:val="15"/>
              </w:rPr>
              <w:t>Site, catalogue, réponse fournisseur</w:t>
            </w:r>
          </w:p>
        </w:tc>
      </w:tr>
      <w:tr>
        <w:trPr>
          <w:cantSplit/>
        </w:trPr>
        <w:tc>
          <w:tcPr>
            <w:tcW w:type="dxa" w:w="2160"/>
            <w:tcMar>
              <w:top w:w="38" w:type="dxa"/>
              <w:start w:w="50" w:type="dxa"/>
              <w:bottom w:w="38" w:type="dxa"/>
              <w:end w:w="50" w:type="dxa"/>
            </w:tcMar>
            <w:vAlign w:val="top"/>
            <w:shd w:fill="FAFAFA"/>
          </w:tcPr>
          <w:p>
            <w:pPr>
              <w:spacing w:after="0" w:before="0" w:line="240" w:lineRule="auto"/>
            </w:pPr>
            <w:r>
              <w:rPr>
                <w:sz w:val="15"/>
              </w:rPr>
              <w:t>Prix / MOQ</w:t>
            </w:r>
          </w:p>
        </w:tc>
        <w:tc>
          <w:tcPr>
            <w:tcW w:type="dxa" w:w="4320"/>
            <w:tcMar>
              <w:top w:w="38" w:type="dxa"/>
              <w:start w:w="50" w:type="dxa"/>
              <w:bottom w:w="38" w:type="dxa"/>
              <w:end w:w="50" w:type="dxa"/>
            </w:tcMar>
            <w:vAlign w:val="top"/>
            <w:shd w:fill="FAFAFA"/>
          </w:tcPr>
          <w:p>
            <w:pPr>
              <w:spacing w:after="0" w:before="0" w:line="240" w:lineRule="auto"/>
            </w:pPr>
            <w:r>
              <w:rPr>
                <w:sz w:val="15"/>
              </w:rPr>
              <w:t>Fourchette, MOQ, structure tarifaire</w:t>
            </w:r>
          </w:p>
        </w:tc>
        <w:tc>
          <w:tcPr>
            <w:tcW w:type="dxa" w:w="2880"/>
            <w:tcMar>
              <w:top w:w="38" w:type="dxa"/>
              <w:start w:w="50" w:type="dxa"/>
              <w:bottom w:w="38" w:type="dxa"/>
              <w:end w:w="50" w:type="dxa"/>
            </w:tcMar>
            <w:vAlign w:val="top"/>
            <w:shd w:fill="FAFAFA"/>
          </w:tcPr>
          <w:p>
            <w:pPr>
              <w:spacing w:after="0" w:before="0" w:line="240" w:lineRule="auto"/>
            </w:pPr>
            <w:r>
              <w:rPr>
                <w:sz w:val="15"/>
              </w:rPr>
              <w:t>Source / offre</w:t>
            </w:r>
          </w:p>
        </w:tc>
      </w:tr>
      <w:tr>
        <w:trPr>
          <w:cantSplit/>
        </w:trPr>
        <w:tc>
          <w:tcPr>
            <w:tcW w:type="dxa" w:w="2160"/>
            <w:tcMar>
              <w:top w:w="38" w:type="dxa"/>
              <w:start w:w="50" w:type="dxa"/>
              <w:bottom w:w="38" w:type="dxa"/>
              <w:end w:w="50" w:type="dxa"/>
            </w:tcMar>
            <w:vAlign w:val="top"/>
          </w:tcPr>
          <w:p>
            <w:pPr>
              <w:spacing w:after="0" w:before="0" w:line="240" w:lineRule="auto"/>
            </w:pPr>
            <w:r>
              <w:rPr>
                <w:sz w:val="15"/>
              </w:rPr>
              <w:t>Capacité / délai</w:t>
            </w:r>
          </w:p>
        </w:tc>
        <w:tc>
          <w:tcPr>
            <w:tcW w:type="dxa" w:w="4320"/>
            <w:tcMar>
              <w:top w:w="38" w:type="dxa"/>
              <w:start w:w="50" w:type="dxa"/>
              <w:bottom w:w="38" w:type="dxa"/>
              <w:end w:w="50" w:type="dxa"/>
            </w:tcMar>
            <w:vAlign w:val="top"/>
          </w:tcPr>
          <w:p>
            <w:pPr>
              <w:spacing w:after="0" w:before="0" w:line="240" w:lineRule="auto"/>
            </w:pPr>
            <w:r>
              <w:rPr>
                <w:sz w:val="15"/>
              </w:rPr>
              <w:t>Capacité déclarée, disponibilité, lead time</w:t>
            </w:r>
          </w:p>
        </w:tc>
        <w:tc>
          <w:tcPr>
            <w:tcW w:type="dxa" w:w="2880"/>
            <w:tcMar>
              <w:top w:w="38" w:type="dxa"/>
              <w:start w:w="50" w:type="dxa"/>
              <w:bottom w:w="38" w:type="dxa"/>
              <w:end w:w="50" w:type="dxa"/>
            </w:tcMar>
            <w:vAlign w:val="top"/>
          </w:tcPr>
          <w:p>
            <w:pPr>
              <w:spacing w:after="0" w:before="0" w:line="240" w:lineRule="auto"/>
            </w:pPr>
            <w:r>
              <w:rPr>
                <w:sz w:val="15"/>
              </w:rPr>
              <w:t>Fournisseur / historique OSI</w:t>
            </w:r>
          </w:p>
        </w:tc>
      </w:tr>
      <w:tr>
        <w:trPr>
          <w:cantSplit/>
        </w:trPr>
        <w:tc>
          <w:tcPr>
            <w:tcW w:type="dxa" w:w="2160"/>
            <w:tcMar>
              <w:top w:w="38" w:type="dxa"/>
              <w:start w:w="50" w:type="dxa"/>
              <w:bottom w:w="38" w:type="dxa"/>
              <w:end w:w="50" w:type="dxa"/>
            </w:tcMar>
            <w:vAlign w:val="top"/>
            <w:shd w:fill="FAFAFA"/>
          </w:tcPr>
          <w:p>
            <w:pPr>
              <w:spacing w:after="0" w:before="0" w:line="240" w:lineRule="auto"/>
            </w:pPr>
            <w:r>
              <w:rPr>
                <w:sz w:val="15"/>
              </w:rPr>
              <w:t>Normes / certifications</w:t>
            </w:r>
          </w:p>
        </w:tc>
        <w:tc>
          <w:tcPr>
            <w:tcW w:type="dxa" w:w="4320"/>
            <w:tcMar>
              <w:top w:w="38" w:type="dxa"/>
              <w:start w:w="50" w:type="dxa"/>
              <w:bottom w:w="38" w:type="dxa"/>
              <w:end w:w="50" w:type="dxa"/>
            </w:tcMar>
            <w:vAlign w:val="top"/>
            <w:shd w:fill="FAFAFA"/>
          </w:tcPr>
          <w:p>
            <w:pPr>
              <w:spacing w:after="0" w:before="0" w:line="240" w:lineRule="auto"/>
            </w:pPr>
            <w:r>
              <w:rPr>
                <w:sz w:val="15"/>
              </w:rPr>
              <w:t>Certificats requis et pièces disponibles</w:t>
            </w:r>
          </w:p>
        </w:tc>
        <w:tc>
          <w:tcPr>
            <w:tcW w:type="dxa" w:w="2880"/>
            <w:tcMar>
              <w:top w:w="38" w:type="dxa"/>
              <w:start w:w="50" w:type="dxa"/>
              <w:bottom w:w="38" w:type="dxa"/>
              <w:end w:w="50" w:type="dxa"/>
            </w:tcMar>
            <w:vAlign w:val="top"/>
            <w:shd w:fill="FAFAFA"/>
          </w:tcPr>
          <w:p>
            <w:pPr>
              <w:spacing w:after="0" w:before="0" w:line="240" w:lineRule="auto"/>
            </w:pPr>
            <w:r>
              <w:rPr>
                <w:sz w:val="15"/>
              </w:rPr>
              <w:t>Documents / registres</w:t>
            </w:r>
          </w:p>
        </w:tc>
      </w:tr>
      <w:tr>
        <w:trPr>
          <w:cantSplit/>
        </w:trPr>
        <w:tc>
          <w:tcPr>
            <w:tcW w:type="dxa" w:w="2160"/>
            <w:tcMar>
              <w:top w:w="38" w:type="dxa"/>
              <w:start w:w="50" w:type="dxa"/>
              <w:bottom w:w="38" w:type="dxa"/>
              <w:end w:w="50" w:type="dxa"/>
            </w:tcMar>
            <w:vAlign w:val="top"/>
          </w:tcPr>
          <w:p>
            <w:pPr>
              <w:spacing w:after="0" w:before="0" w:line="240" w:lineRule="auto"/>
            </w:pPr>
            <w:r>
              <w:rPr>
                <w:sz w:val="15"/>
              </w:rPr>
              <w:t>Identité / réputation</w:t>
            </w:r>
          </w:p>
        </w:tc>
        <w:tc>
          <w:tcPr>
            <w:tcW w:type="dxa" w:w="4320"/>
            <w:tcMar>
              <w:top w:w="38" w:type="dxa"/>
              <w:start w:w="50" w:type="dxa"/>
              <w:bottom w:w="38" w:type="dxa"/>
              <w:end w:w="50" w:type="dxa"/>
            </w:tcMar>
            <w:vAlign w:val="top"/>
          </w:tcPr>
          <w:p>
            <w:pPr>
              <w:spacing w:after="0" w:before="0" w:line="240" w:lineRule="auto"/>
            </w:pPr>
            <w:r>
              <w:rPr>
                <w:sz w:val="15"/>
              </w:rPr>
              <w:t>Existence, identité numérique, historique, signaux de risque</w:t>
            </w:r>
          </w:p>
        </w:tc>
        <w:tc>
          <w:tcPr>
            <w:tcW w:type="dxa" w:w="2880"/>
            <w:tcMar>
              <w:top w:w="38" w:type="dxa"/>
              <w:start w:w="50" w:type="dxa"/>
              <w:bottom w:w="38" w:type="dxa"/>
              <w:end w:w="50" w:type="dxa"/>
            </w:tcMar>
            <w:vAlign w:val="top"/>
          </w:tcPr>
          <w:p>
            <w:pPr>
              <w:spacing w:after="0" w:before="0" w:line="240" w:lineRule="auto"/>
            </w:pPr>
            <w:r>
              <w:rPr>
                <w:sz w:val="15"/>
              </w:rPr>
              <w:t>Registres / web / OSI</w:t>
            </w:r>
          </w:p>
        </w:tc>
      </w:tr>
      <w:tr>
        <w:trPr>
          <w:cantSplit/>
        </w:trPr>
        <w:tc>
          <w:tcPr>
            <w:tcW w:type="dxa" w:w="2160"/>
            <w:tcMar>
              <w:top w:w="38" w:type="dxa"/>
              <w:start w:w="50" w:type="dxa"/>
              <w:bottom w:w="38" w:type="dxa"/>
              <w:end w:w="50" w:type="dxa"/>
            </w:tcMar>
            <w:vAlign w:val="top"/>
            <w:shd w:fill="FAFAFA"/>
          </w:tcPr>
          <w:p>
            <w:pPr>
              <w:spacing w:after="0" w:before="0" w:line="240" w:lineRule="auto"/>
            </w:pPr>
            <w:r>
              <w:rPr>
                <w:sz w:val="15"/>
              </w:rPr>
              <w:t>Fit client</w:t>
            </w:r>
          </w:p>
        </w:tc>
        <w:tc>
          <w:tcPr>
            <w:tcW w:type="dxa" w:w="4320"/>
            <w:tcMar>
              <w:top w:w="38" w:type="dxa"/>
              <w:start w:w="50" w:type="dxa"/>
              <w:bottom w:w="38" w:type="dxa"/>
              <w:end w:w="50" w:type="dxa"/>
            </w:tcMar>
            <w:vAlign w:val="top"/>
            <w:shd w:fill="FAFAFA"/>
          </w:tcPr>
          <w:p>
            <w:pPr>
              <w:spacing w:after="0" w:before="0" w:line="240" w:lineRule="auto"/>
            </w:pPr>
            <w:r>
              <w:rPr>
                <w:sz w:val="15"/>
              </w:rPr>
              <w:t>Destination, budget, fréquence, préférences</w:t>
            </w:r>
          </w:p>
        </w:tc>
        <w:tc>
          <w:tcPr>
            <w:tcW w:type="dxa" w:w="2880"/>
            <w:tcMar>
              <w:top w:w="38" w:type="dxa"/>
              <w:start w:w="50" w:type="dxa"/>
              <w:bottom w:w="38" w:type="dxa"/>
              <w:end w:w="50" w:type="dxa"/>
            </w:tcMar>
            <w:vAlign w:val="top"/>
            <w:shd w:fill="FAFAFA"/>
          </w:tcPr>
          <w:p>
            <w:pPr>
              <w:spacing w:after="0" w:before="0" w:line="240" w:lineRule="auto"/>
            </w:pPr>
            <w:r>
              <w:rPr>
                <w:sz w:val="15"/>
              </w:rPr>
              <w:t>BuyerRequest</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EAF2F8"/>
            <w:tcMar>
              <w:top w:w="38" w:type="dxa"/>
              <w:start w:w="50" w:type="dxa"/>
              <w:bottom w:w="38" w:type="dxa"/>
              <w:end w:w="50" w:type="dxa"/>
            </w:tcMar>
            <w:tcBorders>
              <w:left w:val="single" w:sz="18" w:color="2D5F87"/>
            </w:tcBorders>
          </w:tcPr>
          <w:p>
            <w:pPr>
              <w:spacing w:after="0" w:before="0" w:line="240" w:lineRule="auto"/>
            </w:pPr>
            <w:r>
              <w:rPr>
                <w:b/>
                <w:color w:val="2D5F87"/>
                <w:sz w:val="18"/>
              </w:rPr>
              <w:t>SORTIE KPI #1</w:t>
            </w:r>
          </w:p>
          <w:p>
            <w:pPr>
              <w:spacing w:after="0" w:before="0" w:line="240" w:lineRule="auto"/>
            </w:pPr>
            <w:r>
              <w:t>Une shortlist suffisamment compatible pour justifier une RFQ. Ce score ne prétend pas encore connaître le coût total ni la viabilité complète de la transaction.</w:t>
            </w:r>
          </w:p>
        </w:tc>
      </w:tr>
    </w:tbl>
    <w:p>
      <w:pPr>
        <w:spacing w:after="0" w:before="0"/>
      </w:pPr>
    </w:p>
    <w:p>
      <w:pPr>
        <w:pStyle w:val="Heading2"/>
        <w:keepNext/>
        <w:keepNext/>
      </w:pPr>
      <w:r>
        <w:t>Enrichissement des 5 meilleures soumissions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088"/>
            <w:shd w:fill="111111"/>
            <w:tcMar>
              <w:top w:w="38" w:type="dxa"/>
              <w:start w:w="50" w:type="dxa"/>
              <w:bottom w:w="38" w:type="dxa"/>
              <w:end w:w="50" w:type="dxa"/>
            </w:tcMar>
          </w:tcPr>
          <w:p>
            <w:pPr>
              <w:spacing w:after="0" w:before="0" w:line="240" w:lineRule="auto"/>
            </w:pPr>
            <w:r>
              <w:rPr>
                <w:b/>
                <w:color w:val="FFFFFF"/>
                <w:sz w:val="15"/>
              </w:rPr>
              <w:t>Partenaire</w:t>
            </w:r>
          </w:p>
        </w:tc>
        <w:tc>
          <w:tcPr>
            <w:tcW w:type="dxa" w:w="4320"/>
            <w:shd w:fill="111111"/>
            <w:tcMar>
              <w:top w:w="38" w:type="dxa"/>
              <w:start w:w="50" w:type="dxa"/>
              <w:bottom w:w="38" w:type="dxa"/>
              <w:end w:w="50" w:type="dxa"/>
            </w:tcMar>
          </w:tcPr>
          <w:p>
            <w:pPr>
              <w:spacing w:after="0" w:before="0" w:line="240" w:lineRule="auto"/>
            </w:pPr>
            <w:r>
              <w:rPr>
                <w:b/>
                <w:color w:val="FFFFFF"/>
                <w:sz w:val="15"/>
              </w:rPr>
              <w:t>Avant la décision finale</w:t>
            </w:r>
          </w:p>
        </w:tc>
        <w:tc>
          <w:tcPr>
            <w:tcW w:type="dxa" w:w="3096"/>
            <w:shd w:fill="111111"/>
            <w:tcMar>
              <w:top w:w="38" w:type="dxa"/>
              <w:start w:w="50" w:type="dxa"/>
              <w:bottom w:w="38" w:type="dxa"/>
              <w:end w:w="50" w:type="dxa"/>
            </w:tcMar>
          </w:tcPr>
          <w:p>
            <w:pPr>
              <w:spacing w:after="0" w:before="0" w:line="240" w:lineRule="auto"/>
            </w:pPr>
            <w:r>
              <w:rPr>
                <w:b/>
                <w:color w:val="FFFFFF"/>
                <w:sz w:val="15"/>
              </w:rPr>
              <w:t>Données retournées</w:t>
            </w:r>
          </w:p>
        </w:tc>
      </w:tr>
      <w:tr>
        <w:trPr>
          <w:cantSplit/>
        </w:trPr>
        <w:tc>
          <w:tcPr>
            <w:tcW w:type="dxa" w:w="2088"/>
            <w:tcMar>
              <w:top w:w="38" w:type="dxa"/>
              <w:start w:w="50" w:type="dxa"/>
              <w:bottom w:w="38" w:type="dxa"/>
              <w:end w:w="50" w:type="dxa"/>
            </w:tcMar>
            <w:vAlign w:val="top"/>
          </w:tcPr>
          <w:p>
            <w:pPr>
              <w:spacing w:after="0" w:before="0" w:line="240" w:lineRule="auto"/>
            </w:pPr>
            <w:r>
              <w:rPr>
                <w:sz w:val="15"/>
              </w:rPr>
              <w:t>Globex 2000</w:t>
            </w:r>
          </w:p>
        </w:tc>
        <w:tc>
          <w:tcPr>
            <w:tcW w:type="dxa" w:w="4320"/>
            <w:tcMar>
              <w:top w:w="38" w:type="dxa"/>
              <w:start w:w="50" w:type="dxa"/>
              <w:bottom w:w="38" w:type="dxa"/>
              <w:end w:w="50" w:type="dxa"/>
            </w:tcMar>
            <w:vAlign w:val="top"/>
          </w:tcPr>
          <w:p>
            <w:pPr>
              <w:spacing w:after="0" w:before="0" w:line="240" w:lineRule="auto"/>
            </w:pPr>
            <w:r>
              <w:rPr>
                <w:sz w:val="15"/>
              </w:rPr>
              <w:t>Faisabilité transactionnelle, devise, exigences, structure si applicable</w:t>
            </w:r>
          </w:p>
        </w:tc>
        <w:tc>
          <w:tcPr>
            <w:tcW w:type="dxa" w:w="3096"/>
            <w:tcMar>
              <w:top w:w="38" w:type="dxa"/>
              <w:start w:w="50" w:type="dxa"/>
              <w:bottom w:w="38" w:type="dxa"/>
              <w:end w:w="50" w:type="dxa"/>
            </w:tcMar>
            <w:vAlign w:val="top"/>
          </w:tcPr>
          <w:p>
            <w:pPr>
              <w:spacing w:after="0" w:before="0" w:line="240" w:lineRule="auto"/>
            </w:pPr>
            <w:r>
              <w:rPr>
                <w:sz w:val="15"/>
              </w:rPr>
              <w:t>case_id, exigences, KYC/payment statuses, montant/devise selon intégration</w:t>
            </w:r>
          </w:p>
        </w:tc>
      </w:tr>
      <w:tr>
        <w:trPr>
          <w:cantSplit/>
        </w:trPr>
        <w:tc>
          <w:tcPr>
            <w:tcW w:type="dxa" w:w="2088"/>
            <w:tcMar>
              <w:top w:w="38" w:type="dxa"/>
              <w:start w:w="50" w:type="dxa"/>
              <w:bottom w:w="38" w:type="dxa"/>
              <w:end w:w="50" w:type="dxa"/>
            </w:tcMar>
            <w:vAlign w:val="top"/>
            <w:shd w:fill="FAFAFA"/>
          </w:tcPr>
          <w:p>
            <w:pPr>
              <w:spacing w:after="0" w:before="0" w:line="240" w:lineRule="auto"/>
            </w:pPr>
            <w:r>
              <w:rPr>
                <w:sz w:val="15"/>
              </w:rPr>
              <w:t>Transport / transitaire</w:t>
            </w:r>
          </w:p>
        </w:tc>
        <w:tc>
          <w:tcPr>
            <w:tcW w:type="dxa" w:w="4320"/>
            <w:tcMar>
              <w:top w:w="38" w:type="dxa"/>
              <w:start w:w="50" w:type="dxa"/>
              <w:bottom w:w="38" w:type="dxa"/>
              <w:end w:w="50" w:type="dxa"/>
            </w:tcMar>
            <w:vAlign w:val="top"/>
            <w:shd w:fill="FAFAFA"/>
          </w:tcPr>
          <w:p>
            <w:pPr>
              <w:spacing w:after="0" w:before="0" w:line="240" w:lineRule="auto"/>
            </w:pPr>
            <w:r>
              <w:rPr>
                <w:sz w:val="15"/>
              </w:rPr>
              <w:t>Prix, mode, transit time, route, validité</w:t>
            </w:r>
          </w:p>
        </w:tc>
        <w:tc>
          <w:tcPr>
            <w:tcW w:type="dxa" w:w="3096"/>
            <w:tcMar>
              <w:top w:w="38" w:type="dxa"/>
              <w:start w:w="50" w:type="dxa"/>
              <w:bottom w:w="38" w:type="dxa"/>
              <w:end w:w="50" w:type="dxa"/>
            </w:tcMar>
            <w:vAlign w:val="top"/>
            <w:shd w:fill="FAFAFA"/>
          </w:tcPr>
          <w:p>
            <w:pPr>
              <w:spacing w:after="0" w:before="0" w:line="240" w:lineRule="auto"/>
            </w:pPr>
            <w:r>
              <w:rPr>
                <w:sz w:val="15"/>
              </w:rPr>
              <w:t>coût, délai, quote_id, itinéraire, réserves</w:t>
            </w:r>
          </w:p>
        </w:tc>
      </w:tr>
      <w:tr>
        <w:trPr>
          <w:cantSplit/>
        </w:trPr>
        <w:tc>
          <w:tcPr>
            <w:tcW w:type="dxa" w:w="2088"/>
            <w:tcMar>
              <w:top w:w="38" w:type="dxa"/>
              <w:start w:w="50" w:type="dxa"/>
              <w:bottom w:w="38" w:type="dxa"/>
              <w:end w:w="50" w:type="dxa"/>
            </w:tcMar>
            <w:vAlign w:val="top"/>
          </w:tcPr>
          <w:p>
            <w:pPr>
              <w:spacing w:after="0" w:before="0" w:line="240" w:lineRule="auto"/>
            </w:pPr>
            <w:r>
              <w:rPr>
                <w:sz w:val="15"/>
              </w:rPr>
              <w:t>SGS / inspection</w:t>
            </w:r>
          </w:p>
        </w:tc>
        <w:tc>
          <w:tcPr>
            <w:tcW w:type="dxa" w:w="4320"/>
            <w:tcMar>
              <w:top w:w="38" w:type="dxa"/>
              <w:start w:w="50" w:type="dxa"/>
              <w:bottom w:w="38" w:type="dxa"/>
              <w:end w:w="50" w:type="dxa"/>
            </w:tcMar>
            <w:vAlign w:val="top"/>
          </w:tcPr>
          <w:p>
            <w:pPr>
              <w:spacing w:after="0" w:before="0" w:line="240" w:lineRule="auto"/>
            </w:pPr>
            <w:r>
              <w:rPr>
                <w:sz w:val="15"/>
              </w:rPr>
              <w:t>Type d’inspection, coût, délai, exigences</w:t>
            </w:r>
          </w:p>
        </w:tc>
        <w:tc>
          <w:tcPr>
            <w:tcW w:type="dxa" w:w="3096"/>
            <w:tcMar>
              <w:top w:w="38" w:type="dxa"/>
              <w:start w:w="50" w:type="dxa"/>
              <w:bottom w:w="38" w:type="dxa"/>
              <w:end w:w="50" w:type="dxa"/>
            </w:tcMar>
            <w:vAlign w:val="top"/>
          </w:tcPr>
          <w:p>
            <w:pPr>
              <w:spacing w:after="0" w:before="0" w:line="240" w:lineRule="auto"/>
            </w:pPr>
            <w:r>
              <w:rPr>
                <w:sz w:val="15"/>
              </w:rPr>
              <w:t>inspection_id, statut, rapport, résultat</w:t>
            </w:r>
          </w:p>
        </w:tc>
      </w:tr>
      <w:tr>
        <w:trPr>
          <w:cantSplit/>
        </w:trPr>
        <w:tc>
          <w:tcPr>
            <w:tcW w:type="dxa" w:w="2088"/>
            <w:tcMar>
              <w:top w:w="38" w:type="dxa"/>
              <w:start w:w="50" w:type="dxa"/>
              <w:bottom w:w="38" w:type="dxa"/>
              <w:end w:w="50" w:type="dxa"/>
            </w:tcMar>
            <w:vAlign w:val="top"/>
            <w:shd w:fill="FAFAFA"/>
          </w:tcPr>
          <w:p>
            <w:pPr>
              <w:spacing w:after="0" w:before="0" w:line="240" w:lineRule="auto"/>
            </w:pPr>
            <w:r>
              <w:rPr>
                <w:sz w:val="15"/>
              </w:rPr>
              <w:t>Courtier en douane</w:t>
            </w:r>
          </w:p>
        </w:tc>
        <w:tc>
          <w:tcPr>
            <w:tcW w:type="dxa" w:w="4320"/>
            <w:tcMar>
              <w:top w:w="38" w:type="dxa"/>
              <w:start w:w="50" w:type="dxa"/>
              <w:bottom w:w="38" w:type="dxa"/>
              <w:end w:w="50" w:type="dxa"/>
            </w:tcMar>
            <w:vAlign w:val="top"/>
            <w:shd w:fill="FAFAFA"/>
          </w:tcPr>
          <w:p>
            <w:pPr>
              <w:spacing w:after="0" w:before="0" w:line="240" w:lineRule="auto"/>
            </w:pPr>
            <w:r>
              <w:rPr>
                <w:sz w:val="15"/>
              </w:rPr>
              <w:t>Classification, droits, documents, restrictions</w:t>
            </w:r>
          </w:p>
        </w:tc>
        <w:tc>
          <w:tcPr>
            <w:tcW w:type="dxa" w:w="3096"/>
            <w:tcMar>
              <w:top w:w="38" w:type="dxa"/>
              <w:start w:w="50" w:type="dxa"/>
              <w:bottom w:w="38" w:type="dxa"/>
              <w:end w:w="50" w:type="dxa"/>
            </w:tcMar>
            <w:vAlign w:val="top"/>
            <w:shd w:fill="FAFAFA"/>
          </w:tcPr>
          <w:p>
            <w:pPr>
              <w:spacing w:after="0" w:before="0" w:line="240" w:lineRule="auto"/>
            </w:pPr>
            <w:r>
              <w:rPr>
                <w:sz w:val="15"/>
              </w:rPr>
              <w:t>HS code, estimation des droits, documents requis</w:t>
            </w:r>
          </w:p>
        </w:tc>
      </w:tr>
      <w:tr>
        <w:trPr>
          <w:cantSplit/>
        </w:trPr>
        <w:tc>
          <w:tcPr>
            <w:tcW w:type="dxa" w:w="2088"/>
            <w:tcMar>
              <w:top w:w="38" w:type="dxa"/>
              <w:start w:w="50" w:type="dxa"/>
              <w:bottom w:w="38" w:type="dxa"/>
              <w:end w:w="50" w:type="dxa"/>
            </w:tcMar>
            <w:vAlign w:val="top"/>
          </w:tcPr>
          <w:p>
            <w:pPr>
              <w:spacing w:after="0" w:before="0" w:line="240" w:lineRule="auto"/>
            </w:pPr>
            <w:r>
              <w:rPr>
                <w:sz w:val="15"/>
              </w:rPr>
              <w:t>Assurance</w:t>
            </w:r>
          </w:p>
        </w:tc>
        <w:tc>
          <w:tcPr>
            <w:tcW w:type="dxa" w:w="4320"/>
            <w:tcMar>
              <w:top w:w="38" w:type="dxa"/>
              <w:start w:w="50" w:type="dxa"/>
              <w:bottom w:w="38" w:type="dxa"/>
              <w:end w:w="50" w:type="dxa"/>
            </w:tcMar>
            <w:vAlign w:val="top"/>
          </w:tcPr>
          <w:p>
            <w:pPr>
              <w:spacing w:after="0" w:before="0" w:line="240" w:lineRule="auto"/>
            </w:pPr>
            <w:r>
              <w:rPr>
                <w:sz w:val="15"/>
              </w:rPr>
              <w:t>Prime, couverture, exclusions</w:t>
            </w:r>
          </w:p>
        </w:tc>
        <w:tc>
          <w:tcPr>
            <w:tcW w:type="dxa" w:w="3096"/>
            <w:tcMar>
              <w:top w:w="38" w:type="dxa"/>
              <w:start w:w="50" w:type="dxa"/>
              <w:bottom w:w="38" w:type="dxa"/>
              <w:end w:w="50" w:type="dxa"/>
            </w:tcMar>
            <w:vAlign w:val="top"/>
          </w:tcPr>
          <w:p>
            <w:pPr>
              <w:spacing w:after="0" w:before="0" w:line="240" w:lineRule="auto"/>
            </w:pPr>
            <w:r>
              <w:rPr>
                <w:sz w:val="15"/>
              </w:rPr>
              <w:t>référence police, couverture, statut</w:t>
            </w:r>
          </w:p>
        </w:tc>
      </w:tr>
    </w:tbl>
    <w:p>
      <w:pPr>
        <w:spacing w:after="0" w:before="0"/>
      </w:pPr>
    </w:p>
    <w:p>
      <w:pPr>
        <w:pStyle w:val="Heading2"/>
        <w:keepNext/>
        <w:keepNext/>
      </w:pPr>
      <w:r>
        <w:t>KPI #2 — Transaction Fit</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592"/>
            <w:shd w:fill="111111"/>
            <w:tcMar>
              <w:top w:w="38" w:type="dxa"/>
              <w:start w:w="50" w:type="dxa"/>
              <w:bottom w:w="38" w:type="dxa"/>
              <w:end w:w="50" w:type="dxa"/>
            </w:tcMar>
          </w:tcPr>
          <w:p>
            <w:pPr>
              <w:spacing w:after="0" w:before="0" w:line="240" w:lineRule="auto"/>
            </w:pPr>
            <w:r>
              <w:rPr>
                <w:b/>
                <w:color w:val="FFFFFF"/>
                <w:sz w:val="15"/>
              </w:rPr>
              <w:t>Dimension</w:t>
            </w:r>
          </w:p>
        </w:tc>
        <w:tc>
          <w:tcPr>
            <w:tcW w:type="dxa" w:w="6912"/>
            <w:shd w:fill="111111"/>
            <w:tcMar>
              <w:top w:w="38" w:type="dxa"/>
              <w:start w:w="50" w:type="dxa"/>
              <w:bottom w:w="38" w:type="dxa"/>
              <w:end w:w="50" w:type="dxa"/>
            </w:tcMar>
          </w:tcPr>
          <w:p>
            <w:pPr>
              <w:spacing w:after="0" w:before="0" w:line="240" w:lineRule="auto"/>
            </w:pPr>
            <w:r>
              <w:rPr>
                <w:b/>
                <w:color w:val="FFFFFF"/>
                <w:sz w:val="15"/>
              </w:rPr>
              <w:t>Question à laquelle OSI répond</w:t>
            </w:r>
          </w:p>
        </w:tc>
      </w:tr>
      <w:tr>
        <w:trPr>
          <w:cantSplit/>
        </w:trPr>
        <w:tc>
          <w:tcPr>
            <w:tcW w:type="dxa" w:w="2592"/>
            <w:tcMar>
              <w:top w:w="38" w:type="dxa"/>
              <w:start w:w="50" w:type="dxa"/>
              <w:bottom w:w="38" w:type="dxa"/>
              <w:end w:w="50" w:type="dxa"/>
            </w:tcMar>
            <w:vAlign w:val="top"/>
          </w:tcPr>
          <w:p>
            <w:pPr>
              <w:spacing w:after="0" w:before="0" w:line="240" w:lineRule="auto"/>
            </w:pPr>
            <w:r>
              <w:rPr>
                <w:sz w:val="15"/>
              </w:rPr>
              <w:t>Coût total rendu</w:t>
            </w:r>
          </w:p>
        </w:tc>
        <w:tc>
          <w:tcPr>
            <w:tcW w:type="dxa" w:w="6912"/>
            <w:tcMar>
              <w:top w:w="38" w:type="dxa"/>
              <w:start w:w="50" w:type="dxa"/>
              <w:bottom w:w="38" w:type="dxa"/>
              <w:end w:w="50" w:type="dxa"/>
            </w:tcMar>
            <w:vAlign w:val="top"/>
          </w:tcPr>
          <w:p>
            <w:pPr>
              <w:spacing w:after="0" w:before="0" w:line="240" w:lineRule="auto"/>
            </w:pPr>
            <w:r>
              <w:rPr>
                <w:sz w:val="15"/>
              </w:rPr>
              <w:t>Combien l’option coûte-t-elle réellement à destination?</w:t>
            </w:r>
          </w:p>
        </w:tc>
      </w:tr>
      <w:tr>
        <w:trPr>
          <w:cantSplit/>
        </w:trPr>
        <w:tc>
          <w:tcPr>
            <w:tcW w:type="dxa" w:w="2592"/>
            <w:tcMar>
              <w:top w:w="38" w:type="dxa"/>
              <w:start w:w="50" w:type="dxa"/>
              <w:bottom w:w="38" w:type="dxa"/>
              <w:end w:w="50" w:type="dxa"/>
            </w:tcMar>
            <w:vAlign w:val="top"/>
            <w:shd w:fill="FAFAFA"/>
          </w:tcPr>
          <w:p>
            <w:pPr>
              <w:spacing w:after="0" w:before="0" w:line="240" w:lineRule="auto"/>
            </w:pPr>
            <w:r>
              <w:rPr>
                <w:sz w:val="15"/>
              </w:rPr>
              <w:t>Paiement / FX</w:t>
            </w:r>
          </w:p>
        </w:tc>
        <w:tc>
          <w:tcPr>
            <w:tcW w:type="dxa" w:w="6912"/>
            <w:tcMar>
              <w:top w:w="38" w:type="dxa"/>
              <w:start w:w="50" w:type="dxa"/>
              <w:bottom w:w="38" w:type="dxa"/>
              <w:end w:w="50" w:type="dxa"/>
            </w:tcMar>
            <w:vAlign w:val="top"/>
            <w:shd w:fill="FAFAFA"/>
          </w:tcPr>
          <w:p>
            <w:pPr>
              <w:spacing w:after="0" w:before="0" w:line="240" w:lineRule="auto"/>
            </w:pPr>
            <w:r>
              <w:rPr>
                <w:sz w:val="15"/>
              </w:rPr>
              <w:t>La transaction est-elle faisable selon la devise, le processus et les exigences financières?</w:t>
            </w:r>
          </w:p>
        </w:tc>
      </w:tr>
      <w:tr>
        <w:trPr>
          <w:cantSplit/>
        </w:trPr>
        <w:tc>
          <w:tcPr>
            <w:tcW w:type="dxa" w:w="2592"/>
            <w:tcMar>
              <w:top w:w="38" w:type="dxa"/>
              <w:start w:w="50" w:type="dxa"/>
              <w:bottom w:w="38" w:type="dxa"/>
              <w:end w:w="50" w:type="dxa"/>
            </w:tcMar>
            <w:vAlign w:val="top"/>
          </w:tcPr>
          <w:p>
            <w:pPr>
              <w:spacing w:after="0" w:before="0" w:line="240" w:lineRule="auto"/>
            </w:pPr>
            <w:r>
              <w:rPr>
                <w:sz w:val="15"/>
              </w:rPr>
              <w:t>Inspection / conformité</w:t>
            </w:r>
          </w:p>
        </w:tc>
        <w:tc>
          <w:tcPr>
            <w:tcW w:type="dxa" w:w="6912"/>
            <w:tcMar>
              <w:top w:w="38" w:type="dxa"/>
              <w:start w:w="50" w:type="dxa"/>
              <w:bottom w:w="38" w:type="dxa"/>
              <w:end w:w="50" w:type="dxa"/>
            </w:tcMar>
            <w:vAlign w:val="top"/>
          </w:tcPr>
          <w:p>
            <w:pPr>
              <w:spacing w:after="0" w:before="0" w:line="240" w:lineRule="auto"/>
            </w:pPr>
            <w:r>
              <w:rPr>
                <w:sz w:val="15"/>
              </w:rPr>
              <w:t>Quel contrôle est nécessaire et quel est le risque de non-conformité?</w:t>
            </w:r>
          </w:p>
        </w:tc>
      </w:tr>
      <w:tr>
        <w:trPr>
          <w:cantSplit/>
        </w:trPr>
        <w:tc>
          <w:tcPr>
            <w:tcW w:type="dxa" w:w="2592"/>
            <w:tcMar>
              <w:top w:w="38" w:type="dxa"/>
              <w:start w:w="50" w:type="dxa"/>
              <w:bottom w:w="38" w:type="dxa"/>
              <w:end w:w="50" w:type="dxa"/>
            </w:tcMar>
            <w:vAlign w:val="top"/>
            <w:shd w:fill="FAFAFA"/>
          </w:tcPr>
          <w:p>
            <w:pPr>
              <w:spacing w:after="0" w:before="0" w:line="240" w:lineRule="auto"/>
            </w:pPr>
            <w:r>
              <w:rPr>
                <w:sz w:val="15"/>
              </w:rPr>
              <w:t>Logistique</w:t>
            </w:r>
          </w:p>
        </w:tc>
        <w:tc>
          <w:tcPr>
            <w:tcW w:type="dxa" w:w="6912"/>
            <w:tcMar>
              <w:top w:w="38" w:type="dxa"/>
              <w:start w:w="50" w:type="dxa"/>
              <w:bottom w:w="38" w:type="dxa"/>
              <w:end w:w="50" w:type="dxa"/>
            </w:tcMar>
            <w:vAlign w:val="top"/>
            <w:shd w:fill="FAFAFA"/>
          </w:tcPr>
          <w:p>
            <w:pPr>
              <w:spacing w:after="0" w:before="0" w:line="240" w:lineRule="auto"/>
            </w:pPr>
            <w:r>
              <w:rPr>
                <w:sz w:val="15"/>
              </w:rPr>
              <w:t>Le délai et le coût de transport rendent-ils l’offre réellement compétitive?</w:t>
            </w:r>
          </w:p>
        </w:tc>
      </w:tr>
      <w:tr>
        <w:trPr>
          <w:cantSplit/>
        </w:trPr>
        <w:tc>
          <w:tcPr>
            <w:tcW w:type="dxa" w:w="2592"/>
            <w:tcMar>
              <w:top w:w="38" w:type="dxa"/>
              <w:start w:w="50" w:type="dxa"/>
              <w:bottom w:w="38" w:type="dxa"/>
              <w:end w:w="50" w:type="dxa"/>
            </w:tcMar>
            <w:vAlign w:val="top"/>
          </w:tcPr>
          <w:p>
            <w:pPr>
              <w:spacing w:after="0" w:before="0" w:line="240" w:lineRule="auto"/>
            </w:pPr>
            <w:r>
              <w:rPr>
                <w:sz w:val="15"/>
              </w:rPr>
              <w:t>Douanes</w:t>
            </w:r>
          </w:p>
        </w:tc>
        <w:tc>
          <w:tcPr>
            <w:tcW w:type="dxa" w:w="6912"/>
            <w:tcMar>
              <w:top w:w="38" w:type="dxa"/>
              <w:start w:w="50" w:type="dxa"/>
              <w:bottom w:w="38" w:type="dxa"/>
              <w:end w:w="50" w:type="dxa"/>
            </w:tcMar>
            <w:vAlign w:val="top"/>
          </w:tcPr>
          <w:p>
            <w:pPr>
              <w:spacing w:after="0" w:before="0" w:line="240" w:lineRule="auto"/>
            </w:pPr>
            <w:r>
              <w:rPr>
                <w:sz w:val="15"/>
              </w:rPr>
              <w:t>Quels droits, documents ou restrictions modifient le choix?</w:t>
            </w:r>
          </w:p>
        </w:tc>
      </w:tr>
      <w:tr>
        <w:trPr>
          <w:cantSplit/>
        </w:trPr>
        <w:tc>
          <w:tcPr>
            <w:tcW w:type="dxa" w:w="2592"/>
            <w:tcMar>
              <w:top w:w="38" w:type="dxa"/>
              <w:start w:w="50" w:type="dxa"/>
              <w:bottom w:w="38" w:type="dxa"/>
              <w:end w:w="50" w:type="dxa"/>
            </w:tcMar>
            <w:vAlign w:val="top"/>
            <w:shd w:fill="FAFAFA"/>
          </w:tcPr>
          <w:p>
            <w:pPr>
              <w:spacing w:after="0" w:before="0" w:line="240" w:lineRule="auto"/>
            </w:pPr>
            <w:r>
              <w:rPr>
                <w:sz w:val="15"/>
              </w:rPr>
              <w:t>Risque global</w:t>
            </w:r>
          </w:p>
        </w:tc>
        <w:tc>
          <w:tcPr>
            <w:tcW w:type="dxa" w:w="6912"/>
            <w:tcMar>
              <w:top w:w="38" w:type="dxa"/>
              <w:start w:w="50" w:type="dxa"/>
              <w:bottom w:w="38" w:type="dxa"/>
              <w:end w:w="50" w:type="dxa"/>
            </w:tcMar>
            <w:vAlign w:val="top"/>
            <w:shd w:fill="FAFAFA"/>
          </w:tcPr>
          <w:p>
            <w:pPr>
              <w:spacing w:after="0" w:before="0" w:line="240" w:lineRule="auto"/>
            </w:pPr>
            <w:r>
              <w:rPr>
                <w:sz w:val="15"/>
              </w:rPr>
              <w:t>Quel est le niveau de confiance dans l’ensemble fournisseur + transaction + partenaires?</w:t>
            </w:r>
          </w:p>
        </w:tc>
      </w:tr>
    </w:tbl>
    <w:p>
      <w:pPr>
        <w:spacing w:after="0" w:before="0"/>
      </w:pPr>
    </w:p>
    <w:p>
      <w:pPr>
        <w:pStyle w:val="Heading2"/>
        <w:keepNext/>
        <w:keepNext/>
      </w:pPr>
      <w:r>
        <w:t>Top 5 final — Decision Pack client</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232"/>
            <w:shd w:fill="111111"/>
            <w:tcMar>
              <w:top w:w="38" w:type="dxa"/>
              <w:start w:w="50" w:type="dxa"/>
              <w:bottom w:w="38" w:type="dxa"/>
              <w:end w:w="50" w:type="dxa"/>
            </w:tcMar>
          </w:tcPr>
          <w:p>
            <w:pPr>
              <w:spacing w:after="0" w:before="0" w:line="240" w:lineRule="auto"/>
            </w:pPr>
            <w:r>
              <w:rPr>
                <w:b/>
                <w:color w:val="FFFFFF"/>
                <w:sz w:val="15"/>
              </w:rPr>
              <w:t>Bloc</w:t>
            </w:r>
          </w:p>
        </w:tc>
        <w:tc>
          <w:tcPr>
            <w:tcW w:type="dxa" w:w="7272"/>
            <w:shd w:fill="111111"/>
            <w:tcMar>
              <w:top w:w="38" w:type="dxa"/>
              <w:start w:w="50" w:type="dxa"/>
              <w:bottom w:w="38" w:type="dxa"/>
              <w:end w:w="50" w:type="dxa"/>
            </w:tcMar>
          </w:tcPr>
          <w:p>
            <w:pPr>
              <w:spacing w:after="0" w:before="0" w:line="240" w:lineRule="auto"/>
            </w:pPr>
            <w:r>
              <w:rPr>
                <w:b/>
                <w:color w:val="FFFFFF"/>
                <w:sz w:val="15"/>
              </w:rPr>
              <w:t>Contenu visible</w:t>
            </w:r>
          </w:p>
        </w:tc>
      </w:tr>
      <w:tr>
        <w:trPr>
          <w:cantSplit/>
        </w:trPr>
        <w:tc>
          <w:tcPr>
            <w:tcW w:type="dxa" w:w="2232"/>
            <w:tcMar>
              <w:top w:w="38" w:type="dxa"/>
              <w:start w:w="50" w:type="dxa"/>
              <w:bottom w:w="38" w:type="dxa"/>
              <w:end w:w="50" w:type="dxa"/>
            </w:tcMar>
            <w:vAlign w:val="top"/>
          </w:tcPr>
          <w:p>
            <w:pPr>
              <w:spacing w:after="0" w:before="0" w:line="240" w:lineRule="auto"/>
            </w:pPr>
            <w:r>
              <w:rPr>
                <w:sz w:val="15"/>
              </w:rPr>
              <w:t>Résumé</w:t>
            </w:r>
          </w:p>
        </w:tc>
        <w:tc>
          <w:tcPr>
            <w:tcW w:type="dxa" w:w="7272"/>
            <w:tcMar>
              <w:top w:w="38" w:type="dxa"/>
              <w:start w:w="50" w:type="dxa"/>
              <w:bottom w:w="38" w:type="dxa"/>
              <w:end w:w="50" w:type="dxa"/>
            </w:tcMar>
            <w:vAlign w:val="top"/>
          </w:tcPr>
          <w:p>
            <w:pPr>
              <w:spacing w:after="0" w:before="0" w:line="240" w:lineRule="auto"/>
            </w:pPr>
            <w:r>
              <w:rPr>
                <w:sz w:val="15"/>
              </w:rPr>
              <w:t>Score global, recommandation et principaux avantages / risques.</w:t>
            </w:r>
          </w:p>
        </w:tc>
      </w:tr>
      <w:tr>
        <w:trPr>
          <w:cantSplit/>
        </w:trPr>
        <w:tc>
          <w:tcPr>
            <w:tcW w:type="dxa" w:w="2232"/>
            <w:tcMar>
              <w:top w:w="38" w:type="dxa"/>
              <w:start w:w="50" w:type="dxa"/>
              <w:bottom w:w="38" w:type="dxa"/>
              <w:end w:w="50" w:type="dxa"/>
            </w:tcMar>
            <w:vAlign w:val="top"/>
            <w:shd w:fill="FAFAFA"/>
          </w:tcPr>
          <w:p>
            <w:pPr>
              <w:spacing w:after="0" w:before="0" w:line="240" w:lineRule="auto"/>
            </w:pPr>
            <w:r>
              <w:rPr>
                <w:sz w:val="15"/>
              </w:rPr>
              <w:t>Commercial</w:t>
            </w:r>
          </w:p>
        </w:tc>
        <w:tc>
          <w:tcPr>
            <w:tcW w:type="dxa" w:w="7272"/>
            <w:tcMar>
              <w:top w:w="38" w:type="dxa"/>
              <w:start w:w="50" w:type="dxa"/>
              <w:bottom w:w="38" w:type="dxa"/>
              <w:end w:w="50" w:type="dxa"/>
            </w:tcMar>
            <w:vAlign w:val="top"/>
            <w:shd w:fill="FAFAFA"/>
          </w:tcPr>
          <w:p>
            <w:pPr>
              <w:spacing w:after="0" w:before="0" w:line="240" w:lineRule="auto"/>
            </w:pPr>
            <w:r>
              <w:rPr>
                <w:sz w:val="15"/>
              </w:rPr>
              <w:t>Prix, MOQ, délai, Incoterm, validité et conditions de paiement.</w:t>
            </w:r>
          </w:p>
        </w:tc>
      </w:tr>
      <w:tr>
        <w:trPr>
          <w:cantSplit/>
        </w:trPr>
        <w:tc>
          <w:tcPr>
            <w:tcW w:type="dxa" w:w="2232"/>
            <w:tcMar>
              <w:top w:w="38" w:type="dxa"/>
              <w:start w:w="50" w:type="dxa"/>
              <w:bottom w:w="38" w:type="dxa"/>
              <w:end w:w="50" w:type="dxa"/>
            </w:tcMar>
            <w:vAlign w:val="top"/>
          </w:tcPr>
          <w:p>
            <w:pPr>
              <w:spacing w:after="0" w:before="0" w:line="240" w:lineRule="auto"/>
            </w:pPr>
            <w:r>
              <w:rPr>
                <w:sz w:val="15"/>
              </w:rPr>
              <w:t>Coût total</w:t>
            </w:r>
          </w:p>
        </w:tc>
        <w:tc>
          <w:tcPr>
            <w:tcW w:type="dxa" w:w="7272"/>
            <w:tcMar>
              <w:top w:w="38" w:type="dxa"/>
              <w:start w:w="50" w:type="dxa"/>
              <w:bottom w:w="38" w:type="dxa"/>
              <w:end w:w="50" w:type="dxa"/>
            </w:tcMar>
            <w:vAlign w:val="top"/>
          </w:tcPr>
          <w:p>
            <w:pPr>
              <w:spacing w:after="0" w:before="0" w:line="240" w:lineRule="auto"/>
            </w:pPr>
            <w:r>
              <w:rPr>
                <w:sz w:val="15"/>
              </w:rPr>
              <w:t>Transport, inspection, droits/charges estimées et autres frais applicables.</w:t>
            </w:r>
          </w:p>
        </w:tc>
      </w:tr>
      <w:tr>
        <w:trPr>
          <w:cantSplit/>
        </w:trPr>
        <w:tc>
          <w:tcPr>
            <w:tcW w:type="dxa" w:w="2232"/>
            <w:tcMar>
              <w:top w:w="38" w:type="dxa"/>
              <w:start w:w="50" w:type="dxa"/>
              <w:bottom w:w="38" w:type="dxa"/>
              <w:end w:w="50" w:type="dxa"/>
            </w:tcMar>
            <w:vAlign w:val="top"/>
            <w:shd w:fill="FAFAFA"/>
          </w:tcPr>
          <w:p>
            <w:pPr>
              <w:spacing w:after="0" w:before="0" w:line="240" w:lineRule="auto"/>
            </w:pPr>
            <w:r>
              <w:rPr>
                <w:sz w:val="15"/>
              </w:rPr>
              <w:t>Confiance</w:t>
            </w:r>
          </w:p>
        </w:tc>
        <w:tc>
          <w:tcPr>
            <w:tcW w:type="dxa" w:w="7272"/>
            <w:tcMar>
              <w:top w:w="38" w:type="dxa"/>
              <w:start w:w="50" w:type="dxa"/>
              <w:bottom w:w="38" w:type="dxa"/>
              <w:end w:w="50" w:type="dxa"/>
            </w:tcMar>
            <w:vAlign w:val="top"/>
            <w:shd w:fill="FAFAFA"/>
          </w:tcPr>
          <w:p>
            <w:pPr>
              <w:spacing w:after="0" w:before="0" w:line="240" w:lineRule="auto"/>
            </w:pPr>
            <w:r>
              <w:rPr>
                <w:sz w:val="15"/>
              </w:rPr>
              <w:t>Trust Score, identité, certificats, historique et données manquantes.</w:t>
            </w:r>
          </w:p>
        </w:tc>
      </w:tr>
      <w:tr>
        <w:trPr>
          <w:cantSplit/>
        </w:trPr>
        <w:tc>
          <w:tcPr>
            <w:tcW w:type="dxa" w:w="2232"/>
            <w:tcMar>
              <w:top w:w="38" w:type="dxa"/>
              <w:start w:w="50" w:type="dxa"/>
              <w:bottom w:w="38" w:type="dxa"/>
              <w:end w:w="50" w:type="dxa"/>
            </w:tcMar>
            <w:vAlign w:val="top"/>
          </w:tcPr>
          <w:p>
            <w:pPr>
              <w:spacing w:after="0" w:before="0" w:line="240" w:lineRule="auto"/>
            </w:pPr>
            <w:r>
              <w:rPr>
                <w:sz w:val="15"/>
              </w:rPr>
              <w:t>Partenaires</w:t>
            </w:r>
          </w:p>
        </w:tc>
        <w:tc>
          <w:tcPr>
            <w:tcW w:type="dxa" w:w="7272"/>
            <w:tcMar>
              <w:top w:w="38" w:type="dxa"/>
              <w:start w:w="50" w:type="dxa"/>
              <w:bottom w:w="38" w:type="dxa"/>
              <w:end w:w="50" w:type="dxa"/>
            </w:tcMar>
            <w:vAlign w:val="top"/>
          </w:tcPr>
          <w:p>
            <w:pPr>
              <w:spacing w:after="0" w:before="0" w:line="240" w:lineRule="auto"/>
            </w:pPr>
            <w:r>
              <w:rPr>
                <w:sz w:val="15"/>
              </w:rPr>
              <w:t>Statut Globex, devis transport, inspection et autres validations.</w:t>
            </w:r>
          </w:p>
        </w:tc>
      </w:tr>
      <w:tr>
        <w:trPr>
          <w:cantSplit/>
        </w:trPr>
        <w:tc>
          <w:tcPr>
            <w:tcW w:type="dxa" w:w="2232"/>
            <w:tcMar>
              <w:top w:w="38" w:type="dxa"/>
              <w:start w:w="50" w:type="dxa"/>
              <w:bottom w:w="38" w:type="dxa"/>
              <w:end w:w="50" w:type="dxa"/>
            </w:tcMar>
            <w:vAlign w:val="top"/>
            <w:shd w:fill="FAFAFA"/>
          </w:tcPr>
          <w:p>
            <w:pPr>
              <w:spacing w:after="0" w:before="0" w:line="240" w:lineRule="auto"/>
            </w:pPr>
            <w:r>
              <w:rPr>
                <w:sz w:val="15"/>
              </w:rPr>
              <w:t>Explication IA</w:t>
            </w:r>
          </w:p>
        </w:tc>
        <w:tc>
          <w:tcPr>
            <w:tcW w:type="dxa" w:w="7272"/>
            <w:tcMar>
              <w:top w:w="38" w:type="dxa"/>
              <w:start w:w="50" w:type="dxa"/>
              <w:bottom w:w="38" w:type="dxa"/>
              <w:end w:w="50" w:type="dxa"/>
            </w:tcMar>
            <w:vAlign w:val="top"/>
            <w:shd w:fill="FAFAFA"/>
          </w:tcPr>
          <w:p>
            <w:pPr>
              <w:spacing w:after="0" w:before="0" w:line="240" w:lineRule="auto"/>
            </w:pPr>
            <w:r>
              <w:rPr>
                <w:sz w:val="15"/>
              </w:rPr>
              <w:t>Pourquoi l’offre est #1/#2/... et quels compromis expliquent l’ordre.</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F5EEDB"/>
            <w:tcMar>
              <w:top w:w="38" w:type="dxa"/>
              <w:start w:w="50" w:type="dxa"/>
              <w:bottom w:w="38" w:type="dxa"/>
              <w:end w:w="50" w:type="dxa"/>
            </w:tcMar>
            <w:tcBorders>
              <w:left w:val="single" w:sz="18" w:color="B58B2A"/>
            </w:tcBorders>
          </w:tcPr>
          <w:p>
            <w:pPr>
              <w:spacing w:after="0" w:before="0" w:line="240" w:lineRule="auto"/>
            </w:pPr>
            <w:r>
              <w:rPr>
                <w:b/>
                <w:color w:val="B58B2A"/>
                <w:sz w:val="18"/>
              </w:rPr>
              <w:t>RÈGLE PRODUIT</w:t>
            </w:r>
          </w:p>
          <w:p>
            <w:pPr>
              <w:spacing w:after="0" w:before="0" w:line="240" w:lineRule="auto"/>
            </w:pPr>
            <w:r>
              <w:t>Les poids des KPI ne sont pas encore figés. Yves doit les rendre configurables par catégorie, pays, client et niveau de risque. Le client peut choisir une option différente de la recommandation; OSI conserve la décision pour la mémoire du système.</w:t>
            </w:r>
          </w:p>
        </w:tc>
      </w:tr>
    </w:tbl>
    <w:p>
      <w:pPr>
        <w:spacing w:after="0" w:before="0"/>
      </w:pPr>
    </w:p>
    <w:p>
      <w:pPr>
        <w:pStyle w:val="Heading1"/>
        <w:keepNext/>
        <w:keepNext/>
      </w:pPr>
      <w:r>
        <w:t>5. Expérience par acteur</w:t>
      </w:r>
    </w:p>
    <w:p>
      <w:pPr>
        <w:pStyle w:val="SectionSubtitle"/>
      </w:pPr>
      <w:r>
        <w:t>Chaque acteur voit seulement ce dont il a besoin. Les responsabilités ne doivent pas être répétées écran par écran : elles découlent du rôle et du dossier.</w:t>
      </w:r>
    </w:p>
    <w:p>
      <w:pPr>
        <w:pStyle w:val="Heading2"/>
        <w:keepNext/>
        <w:keepNext/>
      </w:pPr>
      <w:r>
        <w:t>Acheteur — ce qu’il doit pouvoir faire</w:t>
      </w:r>
    </w:p>
    <w:p>
      <w:pPr>
        <w:pStyle w:val="ListBullet"/>
        <w:spacing w:after="44"/>
      </w:pPr>
      <w:r>
        <w:t>Créer et valider une demande; voir l’état de la recherche.</w:t>
      </w:r>
    </w:p>
    <w:p>
      <w:pPr>
        <w:pStyle w:val="ListBullet"/>
        <w:spacing w:after="44"/>
      </w:pPr>
      <w:r>
        <w:t>Comparer le Top 5 final avec coûts, risques, délais et hypothèses.</w:t>
      </w:r>
    </w:p>
    <w:p>
      <w:pPr>
        <w:pStyle w:val="ListBullet"/>
        <w:spacing w:after="44"/>
      </w:pPr>
      <w:r>
        <w:t>Choisir un fournisseur et valider les décisions nécessaires.</w:t>
      </w:r>
    </w:p>
    <w:p>
      <w:pPr>
        <w:pStyle w:val="ListBullet"/>
        <w:spacing w:after="44"/>
      </w:pPr>
      <w:r>
        <w:t>Répondre aux demandes de documents OSI / Globex / partenaires.</w:t>
      </w:r>
    </w:p>
    <w:p>
      <w:pPr>
        <w:pStyle w:val="ListBullet"/>
        <w:spacing w:after="44"/>
      </w:pPr>
      <w:r>
        <w:t>Suivre commande, contrats, Globex, inspection, transport et livraison.</w:t>
      </w:r>
    </w:p>
    <w:p>
      <w:pPr>
        <w:pStyle w:val="ListBullet"/>
        <w:spacing w:after="44"/>
      </w:pPr>
      <w:r>
        <w:t>Voir les honoraires OSI intégrés au montant de règlement ainsi que la facture justificative correspondante.</w:t>
      </w:r>
    </w:p>
    <w:p>
      <w:pPr>
        <w:pStyle w:val="Heading2"/>
        <w:keepNext/>
        <w:keepNext/>
      </w:pPr>
      <w:r>
        <w:t>Fournisseur — cycle de vie et portail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800"/>
            <w:shd w:fill="111111"/>
            <w:tcMar>
              <w:top w:w="38" w:type="dxa"/>
              <w:start w:w="50" w:type="dxa"/>
              <w:bottom w:w="38" w:type="dxa"/>
              <w:end w:w="50" w:type="dxa"/>
            </w:tcMar>
          </w:tcPr>
          <w:p>
            <w:pPr>
              <w:spacing w:after="0" w:before="0" w:line="240" w:lineRule="auto"/>
            </w:pPr>
            <w:r>
              <w:rPr>
                <w:b/>
                <w:color w:val="FFFFFF"/>
                <w:sz w:val="15"/>
              </w:rPr>
              <w:t>État</w:t>
            </w:r>
          </w:p>
        </w:tc>
        <w:tc>
          <w:tcPr>
            <w:tcW w:type="dxa" w:w="2952"/>
            <w:shd w:fill="111111"/>
            <w:tcMar>
              <w:top w:w="38" w:type="dxa"/>
              <w:start w:w="50" w:type="dxa"/>
              <w:bottom w:w="38" w:type="dxa"/>
              <w:end w:w="50" w:type="dxa"/>
            </w:tcMar>
          </w:tcPr>
          <w:p>
            <w:pPr>
              <w:spacing w:after="0" w:before="0" w:line="240" w:lineRule="auto"/>
            </w:pPr>
            <w:r>
              <w:rPr>
                <w:b/>
                <w:color w:val="FFFFFF"/>
                <w:sz w:val="15"/>
              </w:rPr>
              <w:t>Déclencheur</w:t>
            </w:r>
          </w:p>
        </w:tc>
        <w:tc>
          <w:tcPr>
            <w:tcW w:type="dxa" w:w="4752"/>
            <w:shd w:fill="111111"/>
            <w:tcMar>
              <w:top w:w="38" w:type="dxa"/>
              <w:start w:w="50" w:type="dxa"/>
              <w:bottom w:w="38" w:type="dxa"/>
              <w:end w:w="50" w:type="dxa"/>
            </w:tcMar>
          </w:tcPr>
          <w:p>
            <w:pPr>
              <w:spacing w:after="0" w:before="0" w:line="240" w:lineRule="auto"/>
            </w:pPr>
            <w:r>
              <w:rPr>
                <w:b/>
                <w:color w:val="FFFFFF"/>
                <w:sz w:val="15"/>
              </w:rPr>
              <w:t>Accès / valeur pour OSI</w:t>
            </w:r>
          </w:p>
        </w:tc>
      </w:tr>
      <w:tr>
        <w:trPr>
          <w:cantSplit/>
        </w:trPr>
        <w:tc>
          <w:tcPr>
            <w:tcW w:type="dxa" w:w="1800"/>
            <w:tcMar>
              <w:top w:w="38" w:type="dxa"/>
              <w:start w:w="50" w:type="dxa"/>
              <w:bottom w:w="38" w:type="dxa"/>
              <w:end w:w="50" w:type="dxa"/>
            </w:tcMar>
            <w:vAlign w:val="top"/>
          </w:tcPr>
          <w:p>
            <w:pPr>
              <w:spacing w:after="0" w:before="0" w:line="240" w:lineRule="auto"/>
            </w:pPr>
            <w:r>
              <w:rPr>
                <w:sz w:val="15"/>
              </w:rPr>
              <w:t>Candidate</w:t>
            </w:r>
          </w:p>
        </w:tc>
        <w:tc>
          <w:tcPr>
            <w:tcW w:type="dxa" w:w="2952"/>
            <w:tcMar>
              <w:top w:w="38" w:type="dxa"/>
              <w:start w:w="50" w:type="dxa"/>
              <w:bottom w:w="38" w:type="dxa"/>
              <w:end w:w="50" w:type="dxa"/>
            </w:tcMar>
            <w:vAlign w:val="top"/>
          </w:tcPr>
          <w:p>
            <w:pPr>
              <w:spacing w:after="0" w:before="0" w:line="240" w:lineRule="auto"/>
            </w:pPr>
            <w:r>
              <w:rPr>
                <w:sz w:val="15"/>
              </w:rPr>
              <w:t>Trouvé par pool ou web</w:t>
            </w:r>
          </w:p>
        </w:tc>
        <w:tc>
          <w:tcPr>
            <w:tcW w:type="dxa" w:w="4752"/>
            <w:tcMar>
              <w:top w:w="38" w:type="dxa"/>
              <w:start w:w="50" w:type="dxa"/>
              <w:bottom w:w="38" w:type="dxa"/>
              <w:end w:w="50" w:type="dxa"/>
            </w:tcMar>
            <w:vAlign w:val="top"/>
          </w:tcPr>
          <w:p>
            <w:pPr>
              <w:spacing w:after="0" w:before="0" w:line="240" w:lineRule="auto"/>
            </w:pPr>
            <w:r>
              <w:rPr>
                <w:sz w:val="15"/>
              </w:rPr>
              <w:t>Aucun compte; identité, sources, produits.</w:t>
            </w:r>
          </w:p>
        </w:tc>
      </w:tr>
      <w:tr>
        <w:trPr>
          <w:cantSplit/>
        </w:trPr>
        <w:tc>
          <w:tcPr>
            <w:tcW w:type="dxa" w:w="1800"/>
            <w:tcMar>
              <w:top w:w="38" w:type="dxa"/>
              <w:start w:w="50" w:type="dxa"/>
              <w:bottom w:w="38" w:type="dxa"/>
              <w:end w:w="50" w:type="dxa"/>
            </w:tcMar>
            <w:vAlign w:val="top"/>
            <w:shd w:fill="FAFAFA"/>
          </w:tcPr>
          <w:p>
            <w:pPr>
              <w:spacing w:after="0" w:before="0" w:line="240" w:lineRule="auto"/>
            </w:pPr>
            <w:r>
              <w:rPr>
                <w:sz w:val="15"/>
              </w:rPr>
              <w:t>Invited</w:t>
            </w:r>
          </w:p>
        </w:tc>
        <w:tc>
          <w:tcPr>
            <w:tcW w:type="dxa" w:w="2952"/>
            <w:tcMar>
              <w:top w:w="38" w:type="dxa"/>
              <w:start w:w="50" w:type="dxa"/>
              <w:bottom w:w="38" w:type="dxa"/>
              <w:end w:w="50" w:type="dxa"/>
            </w:tcMar>
            <w:vAlign w:val="top"/>
            <w:shd w:fill="FAFAFA"/>
          </w:tcPr>
          <w:p>
            <w:pPr>
              <w:spacing w:after="0" w:before="0" w:line="240" w:lineRule="auto"/>
            </w:pPr>
            <w:r>
              <w:rPr>
                <w:sz w:val="15"/>
              </w:rPr>
              <w:t>RFQ envoyée</w:t>
            </w:r>
          </w:p>
        </w:tc>
        <w:tc>
          <w:tcPr>
            <w:tcW w:type="dxa" w:w="4752"/>
            <w:tcMar>
              <w:top w:w="38" w:type="dxa"/>
              <w:start w:w="50" w:type="dxa"/>
              <w:bottom w:w="38" w:type="dxa"/>
              <w:end w:w="50" w:type="dxa"/>
            </w:tcMar>
            <w:vAlign w:val="top"/>
            <w:shd w:fill="FAFAFA"/>
          </w:tcPr>
          <w:p>
            <w:pPr>
              <w:spacing w:after="0" w:before="0" w:line="240" w:lineRule="auto"/>
            </w:pPr>
            <w:r>
              <w:rPr>
                <w:sz w:val="15"/>
              </w:rPr>
              <w:t>Lien sécurisé; réponse, contact, documents.</w:t>
            </w:r>
          </w:p>
        </w:tc>
      </w:tr>
      <w:tr>
        <w:trPr>
          <w:cantSplit/>
        </w:trPr>
        <w:tc>
          <w:tcPr>
            <w:tcW w:type="dxa" w:w="1800"/>
            <w:tcMar>
              <w:top w:w="38" w:type="dxa"/>
              <w:start w:w="50" w:type="dxa"/>
              <w:bottom w:w="38" w:type="dxa"/>
              <w:end w:w="50" w:type="dxa"/>
            </w:tcMar>
            <w:vAlign w:val="top"/>
          </w:tcPr>
          <w:p>
            <w:pPr>
              <w:spacing w:after="0" w:before="0" w:line="240" w:lineRule="auto"/>
            </w:pPr>
            <w:r>
              <w:rPr>
                <w:sz w:val="15"/>
              </w:rPr>
              <w:t>Active</w:t>
            </w:r>
          </w:p>
        </w:tc>
        <w:tc>
          <w:tcPr>
            <w:tcW w:type="dxa" w:w="2952"/>
            <w:tcMar>
              <w:top w:w="38" w:type="dxa"/>
              <w:start w:w="50" w:type="dxa"/>
              <w:bottom w:w="38" w:type="dxa"/>
              <w:end w:w="50" w:type="dxa"/>
            </w:tcMar>
            <w:vAlign w:val="top"/>
          </w:tcPr>
          <w:p>
            <w:pPr>
              <w:spacing w:after="0" w:before="0" w:line="240" w:lineRule="auto"/>
            </w:pPr>
            <w:r>
              <w:rPr>
                <w:sz w:val="15"/>
              </w:rPr>
              <w:t>Compte / réponse structurée</w:t>
            </w:r>
          </w:p>
        </w:tc>
        <w:tc>
          <w:tcPr>
            <w:tcW w:type="dxa" w:w="4752"/>
            <w:tcMar>
              <w:top w:w="38" w:type="dxa"/>
              <w:start w:w="50" w:type="dxa"/>
              <w:bottom w:w="38" w:type="dxa"/>
              <w:end w:w="50" w:type="dxa"/>
            </w:tcMar>
            <w:vAlign w:val="top"/>
          </w:tcPr>
          <w:p>
            <w:pPr>
              <w:spacing w:after="0" w:before="0" w:line="240" w:lineRule="auto"/>
            </w:pPr>
            <w:r>
              <w:rPr>
                <w:sz w:val="15"/>
              </w:rPr>
              <w:t>Portail fournisseur; profil, catalogue, historique.</w:t>
            </w:r>
          </w:p>
        </w:tc>
      </w:tr>
      <w:tr>
        <w:trPr>
          <w:cantSplit/>
        </w:trPr>
        <w:tc>
          <w:tcPr>
            <w:tcW w:type="dxa" w:w="1800"/>
            <w:tcMar>
              <w:top w:w="38" w:type="dxa"/>
              <w:start w:w="50" w:type="dxa"/>
              <w:bottom w:w="38" w:type="dxa"/>
              <w:end w:w="50" w:type="dxa"/>
            </w:tcMar>
            <w:vAlign w:val="top"/>
            <w:shd w:fill="FAFAFA"/>
          </w:tcPr>
          <w:p>
            <w:pPr>
              <w:spacing w:after="0" w:before="0" w:line="240" w:lineRule="auto"/>
            </w:pPr>
            <w:r>
              <w:rPr>
                <w:sz w:val="15"/>
              </w:rPr>
              <w:t>Transaction Supplier</w:t>
            </w:r>
          </w:p>
        </w:tc>
        <w:tc>
          <w:tcPr>
            <w:tcW w:type="dxa" w:w="2952"/>
            <w:tcMar>
              <w:top w:w="38" w:type="dxa"/>
              <w:start w:w="50" w:type="dxa"/>
              <w:bottom w:w="38" w:type="dxa"/>
              <w:end w:w="50" w:type="dxa"/>
            </w:tcMar>
            <w:vAlign w:val="top"/>
            <w:shd w:fill="FAFAFA"/>
          </w:tcPr>
          <w:p>
            <w:pPr>
              <w:spacing w:after="0" w:before="0" w:line="240" w:lineRule="auto"/>
            </w:pPr>
            <w:r>
              <w:rPr>
                <w:sz w:val="15"/>
              </w:rPr>
              <w:t>Offre choisie</w:t>
            </w:r>
          </w:p>
        </w:tc>
        <w:tc>
          <w:tcPr>
            <w:tcW w:type="dxa" w:w="4752"/>
            <w:tcMar>
              <w:top w:w="38" w:type="dxa"/>
              <w:start w:w="50" w:type="dxa"/>
              <w:bottom w:w="38" w:type="dxa"/>
              <w:end w:w="50" w:type="dxa"/>
            </w:tcMar>
            <w:vAlign w:val="top"/>
            <w:shd w:fill="FAFAFA"/>
          </w:tcPr>
          <w:p>
            <w:pPr>
              <w:spacing w:after="0" w:before="0" w:line="240" w:lineRule="auto"/>
            </w:pPr>
            <w:r>
              <w:rPr>
                <w:sz w:val="15"/>
              </w:rPr>
              <w:t>Transaction Room; production, documents, livraison.</w:t>
            </w:r>
          </w:p>
        </w:tc>
      </w:tr>
      <w:tr>
        <w:trPr>
          <w:cantSplit/>
        </w:trPr>
        <w:tc>
          <w:tcPr>
            <w:tcW w:type="dxa" w:w="1800"/>
            <w:tcMar>
              <w:top w:w="38" w:type="dxa"/>
              <w:start w:w="50" w:type="dxa"/>
              <w:bottom w:w="38" w:type="dxa"/>
              <w:end w:w="50" w:type="dxa"/>
            </w:tcMar>
            <w:vAlign w:val="top"/>
          </w:tcPr>
          <w:p>
            <w:pPr>
              <w:spacing w:after="0" w:before="0" w:line="240" w:lineRule="auto"/>
            </w:pPr>
            <w:r>
              <w:rPr>
                <w:sz w:val="15"/>
              </w:rPr>
              <w:t>Validated</w:t>
            </w:r>
          </w:p>
        </w:tc>
        <w:tc>
          <w:tcPr>
            <w:tcW w:type="dxa" w:w="2952"/>
            <w:tcMar>
              <w:top w:w="38" w:type="dxa"/>
              <w:start w:w="50" w:type="dxa"/>
              <w:bottom w:w="38" w:type="dxa"/>
              <w:end w:w="50" w:type="dxa"/>
            </w:tcMar>
            <w:vAlign w:val="top"/>
          </w:tcPr>
          <w:p>
            <w:pPr>
              <w:spacing w:after="0" w:before="0" w:line="240" w:lineRule="auto"/>
            </w:pPr>
            <w:r>
              <w:rPr>
                <w:sz w:val="15"/>
              </w:rPr>
              <w:t>Historique positif / contrôles</w:t>
            </w:r>
          </w:p>
        </w:tc>
        <w:tc>
          <w:tcPr>
            <w:tcW w:type="dxa" w:w="4752"/>
            <w:tcMar>
              <w:top w:w="38" w:type="dxa"/>
              <w:start w:w="50" w:type="dxa"/>
              <w:bottom w:w="38" w:type="dxa"/>
              <w:end w:w="50" w:type="dxa"/>
            </w:tcMar>
            <w:vAlign w:val="top"/>
          </w:tcPr>
          <w:p>
            <w:pPr>
              <w:spacing w:after="0" w:before="0" w:line="240" w:lineRule="auto"/>
            </w:pPr>
            <w:r>
              <w:rPr>
                <w:sz w:val="15"/>
              </w:rPr>
              <w:t>Priorité pool; données de confiance et récurrence.</w:t>
            </w:r>
          </w:p>
        </w:tc>
      </w:tr>
    </w:tbl>
    <w:p>
      <w:pPr>
        <w:spacing w:after="0" w:before="0"/>
      </w:pPr>
    </w:p>
    <w:p>
      <w:pPr>
        <w:pStyle w:val="ListBullet"/>
        <w:spacing w:after="44"/>
      </w:pPr>
      <w:r>
        <w:t>Le fournisseur ne voit jamais les prix, classements ou identités de ses concurrents.</w:t>
      </w:r>
    </w:p>
    <w:p>
      <w:pPr>
        <w:pStyle w:val="ListBullet"/>
        <w:spacing w:after="44"/>
      </w:pPr>
      <w:r>
        <w:t>Il ne voit pas les notes internes, les revenus OSI, le revenue share ou les données acheteur non nécessaires.</w:t>
      </w:r>
    </w:p>
    <w:p>
      <w:pPr>
        <w:pStyle w:val="Heading2"/>
        <w:keepNext/>
        <w:keepNext/>
      </w:pPr>
      <w:r>
        <w:t>Partner Hub — rôle transversal</w:t>
      </w:r>
    </w:p>
    <w:p>
      <w:pPr>
        <w:pStyle w:val="ListBullet"/>
        <w:spacing w:after="44"/>
      </w:pPr>
      <w:r>
        <w:t>Un partenaire voit uniquement les dossiers qui lui sont assignés.</w:t>
      </w:r>
    </w:p>
    <w:p>
      <w:pPr>
        <w:pStyle w:val="ListBullet"/>
        <w:spacing w:after="44"/>
      </w:pPr>
      <w:r>
        <w:t>Il peut demander les informations ou documents nécessaires, fournir un devis/validation et retourner des statuts structurés.</w:t>
      </w:r>
    </w:p>
    <w:p>
      <w:pPr>
        <w:pStyle w:val="ListBullet"/>
        <w:spacing w:after="44"/>
      </w:pPr>
      <w:r>
        <w:t>Les données sensibles doivent rester chez le partenaire lorsque OSI n’a pas besoin de les stocker.</w:t>
      </w:r>
    </w:p>
    <w:p>
      <w:pPr>
        <w:pStyle w:val="Heading2"/>
        <w:keepNext/>
        <w:keepNext/>
      </w:pPr>
      <w:r>
        <w:t>Globex 2000 — expérience cible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648"/>
            <w:shd w:fill="111111"/>
            <w:tcMar>
              <w:top w:w="30" w:type="dxa"/>
              <w:start w:w="45" w:type="dxa"/>
              <w:bottom w:w="30" w:type="dxa"/>
              <w:end w:w="45" w:type="dxa"/>
            </w:tcMar>
          </w:tcPr>
          <w:p>
            <w:pPr>
              <w:spacing w:after="0" w:before="0" w:line="240" w:lineRule="auto"/>
            </w:pPr>
            <w:r>
              <w:rPr>
                <w:b/>
                <w:color w:val="FFFFFF"/>
                <w:sz w:val="14"/>
              </w:rPr>
              <w:t>#</w:t>
            </w:r>
          </w:p>
        </w:tc>
        <w:tc>
          <w:tcPr>
            <w:tcW w:type="dxa" w:w="8784"/>
            <w:shd w:fill="111111"/>
            <w:tcMar>
              <w:top w:w="30" w:type="dxa"/>
              <w:start w:w="45" w:type="dxa"/>
              <w:bottom w:w="30" w:type="dxa"/>
              <w:end w:w="45" w:type="dxa"/>
            </w:tcMar>
          </w:tcPr>
          <w:p>
            <w:pPr>
              <w:spacing w:after="0" w:before="0" w:line="240" w:lineRule="auto"/>
            </w:pPr>
            <w:r>
              <w:rPr>
                <w:b/>
                <w:color w:val="FFFFFF"/>
                <w:sz w:val="14"/>
              </w:rPr>
              <w:t>Flux cible</w:t>
            </w:r>
          </w:p>
        </w:tc>
      </w:tr>
      <w:tr>
        <w:trPr>
          <w:cantSplit/>
        </w:trPr>
        <w:tc>
          <w:tcPr>
            <w:tcW w:type="dxa" w:w="648"/>
            <w:tcMar>
              <w:top w:w="30" w:type="dxa"/>
              <w:start w:w="45" w:type="dxa"/>
              <w:bottom w:w="30" w:type="dxa"/>
              <w:end w:w="45" w:type="dxa"/>
            </w:tcMar>
            <w:vAlign w:val="top"/>
          </w:tcPr>
          <w:p>
            <w:pPr>
              <w:spacing w:after="0" w:before="0" w:line="240" w:lineRule="auto"/>
            </w:pPr>
            <w:r>
              <w:rPr>
                <w:sz w:val="14"/>
              </w:rPr>
              <w:t>1</w:t>
            </w:r>
          </w:p>
        </w:tc>
        <w:tc>
          <w:tcPr>
            <w:tcW w:type="dxa" w:w="8784"/>
            <w:tcMar>
              <w:top w:w="30" w:type="dxa"/>
              <w:start w:w="45" w:type="dxa"/>
              <w:bottom w:w="30" w:type="dxa"/>
              <w:end w:w="45" w:type="dxa"/>
            </w:tcMar>
            <w:vAlign w:val="top"/>
          </w:tcPr>
          <w:p>
            <w:pPr>
              <w:spacing w:after="0" w:before="0" w:line="240" w:lineRule="auto"/>
            </w:pPr>
            <w:r>
              <w:rPr>
                <w:sz w:val="14"/>
              </w:rPr>
              <w:t>OSI crée un PartnerCase Globex lié au Deal ou à l’offre à enrichir.</w:t>
            </w:r>
          </w:p>
        </w:tc>
      </w:tr>
      <w:tr>
        <w:trPr>
          <w:cantSplit/>
        </w:trPr>
        <w:tc>
          <w:tcPr>
            <w:tcW w:type="dxa" w:w="648"/>
            <w:tcMar>
              <w:top w:w="30" w:type="dxa"/>
              <w:start w:w="45" w:type="dxa"/>
              <w:bottom w:w="30" w:type="dxa"/>
              <w:end w:w="45" w:type="dxa"/>
            </w:tcMar>
            <w:vAlign w:val="top"/>
            <w:shd w:fill="FAFAFA"/>
          </w:tcPr>
          <w:p>
            <w:pPr>
              <w:spacing w:after="0" w:before="0" w:line="240" w:lineRule="auto"/>
            </w:pPr>
            <w:r>
              <w:rPr>
                <w:sz w:val="14"/>
              </w:rPr>
              <w:t>2</w:t>
            </w:r>
          </w:p>
        </w:tc>
        <w:tc>
          <w:tcPr>
            <w:tcW w:type="dxa" w:w="8784"/>
            <w:tcMar>
              <w:top w:w="30" w:type="dxa"/>
              <w:start w:w="45" w:type="dxa"/>
              <w:bottom w:w="30" w:type="dxa"/>
              <w:end w:w="45" w:type="dxa"/>
            </w:tcMar>
            <w:vAlign w:val="top"/>
            <w:shd w:fill="FAFAFA"/>
          </w:tcPr>
          <w:p>
            <w:pPr>
              <w:spacing w:after="0" w:before="0" w:line="240" w:lineRule="auto"/>
            </w:pPr>
            <w:r>
              <w:rPr>
                <w:sz w:val="14"/>
              </w:rPr>
              <w:t>Globex voit les informations autorisées et peut demander des documents au client via OSI.</w:t>
            </w:r>
          </w:p>
        </w:tc>
      </w:tr>
      <w:tr>
        <w:trPr>
          <w:cantSplit/>
        </w:trPr>
        <w:tc>
          <w:tcPr>
            <w:tcW w:type="dxa" w:w="648"/>
            <w:tcMar>
              <w:top w:w="30" w:type="dxa"/>
              <w:start w:w="45" w:type="dxa"/>
              <w:bottom w:w="30" w:type="dxa"/>
              <w:end w:w="45" w:type="dxa"/>
            </w:tcMar>
            <w:vAlign w:val="top"/>
          </w:tcPr>
          <w:p>
            <w:pPr>
              <w:spacing w:after="0" w:before="0" w:line="240" w:lineRule="auto"/>
            </w:pPr>
            <w:r>
              <w:rPr>
                <w:sz w:val="14"/>
              </w:rPr>
              <w:t>3</w:t>
            </w:r>
          </w:p>
        </w:tc>
        <w:tc>
          <w:tcPr>
            <w:tcW w:type="dxa" w:w="8784"/>
            <w:tcMar>
              <w:top w:w="30" w:type="dxa"/>
              <w:start w:w="45" w:type="dxa"/>
              <w:bottom w:w="30" w:type="dxa"/>
              <w:end w:w="45" w:type="dxa"/>
            </w:tcMar>
            <w:vAlign w:val="top"/>
          </w:tcPr>
          <w:p>
            <w:pPr>
              <w:spacing w:after="0" w:before="0" w:line="240" w:lineRule="auto"/>
            </w:pPr>
            <w:r>
              <w:rPr>
                <w:sz w:val="14"/>
              </w:rPr>
              <w:t>Le client téléverse dans OSI ou est redirigé vers Globex lorsque la donnée doit rester chez eux.</w:t>
            </w:r>
          </w:p>
        </w:tc>
      </w:tr>
      <w:tr>
        <w:trPr>
          <w:cantSplit/>
        </w:trPr>
        <w:tc>
          <w:tcPr>
            <w:tcW w:type="dxa" w:w="648"/>
            <w:tcMar>
              <w:top w:w="30" w:type="dxa"/>
              <w:start w:w="45" w:type="dxa"/>
              <w:bottom w:w="30" w:type="dxa"/>
              <w:end w:w="45" w:type="dxa"/>
            </w:tcMar>
            <w:vAlign w:val="top"/>
            <w:shd w:fill="FAFAFA"/>
          </w:tcPr>
          <w:p>
            <w:pPr>
              <w:spacing w:after="0" w:before="0" w:line="240" w:lineRule="auto"/>
            </w:pPr>
            <w:r>
              <w:rPr>
                <w:sz w:val="14"/>
              </w:rPr>
              <w:t>4</w:t>
            </w:r>
          </w:p>
        </w:tc>
        <w:tc>
          <w:tcPr>
            <w:tcW w:type="dxa" w:w="8784"/>
            <w:tcMar>
              <w:top w:w="30" w:type="dxa"/>
              <w:start w:w="45" w:type="dxa"/>
              <w:bottom w:w="30" w:type="dxa"/>
              <w:end w:w="45" w:type="dxa"/>
            </w:tcMar>
            <w:vAlign w:val="top"/>
            <w:shd w:fill="FAFAFA"/>
          </w:tcPr>
          <w:p>
            <w:pPr>
              <w:spacing w:after="0" w:before="0" w:line="240" w:lineRule="auto"/>
            </w:pPr>
            <w:r>
              <w:rPr>
                <w:sz w:val="14"/>
              </w:rPr>
              <w:t>Globex valide / refuse / demande un complément; le statut revient dans OSI.</w:t>
            </w:r>
          </w:p>
        </w:tc>
      </w:tr>
      <w:tr>
        <w:trPr>
          <w:cantSplit/>
        </w:trPr>
        <w:tc>
          <w:tcPr>
            <w:tcW w:type="dxa" w:w="648"/>
            <w:tcMar>
              <w:top w:w="30" w:type="dxa"/>
              <w:start w:w="45" w:type="dxa"/>
              <w:bottom w:w="30" w:type="dxa"/>
              <w:end w:w="45" w:type="dxa"/>
            </w:tcMar>
            <w:vAlign w:val="top"/>
          </w:tcPr>
          <w:p>
            <w:pPr>
              <w:spacing w:after="0" w:before="0" w:line="240" w:lineRule="auto"/>
            </w:pPr>
            <w:r>
              <w:rPr>
                <w:sz w:val="14"/>
              </w:rPr>
              <w:t>5</w:t>
            </w:r>
          </w:p>
        </w:tc>
        <w:tc>
          <w:tcPr>
            <w:tcW w:type="dxa" w:w="8784"/>
            <w:tcMar>
              <w:top w:w="30" w:type="dxa"/>
              <w:start w:w="45" w:type="dxa"/>
              <w:bottom w:w="30" w:type="dxa"/>
              <w:end w:w="45" w:type="dxa"/>
            </w:tcMar>
            <w:vAlign w:val="top"/>
          </w:tcPr>
          <w:p>
            <w:pPr>
              <w:spacing w:after="0" w:before="0" w:line="240" w:lineRule="auto"/>
            </w:pPr>
            <w:r>
              <w:rPr>
                <w:sz w:val="14"/>
              </w:rPr>
              <w:t>Le dépôt ou paiement se fait via Globex ou son infrastructure. Globex règle le fournisseur et verse les honoraires OSI à même la transaction, sans que les fonds commerciaux transitent par un compte OSI.</w:t>
            </w:r>
          </w:p>
        </w:tc>
      </w:tr>
      <w:tr>
        <w:trPr>
          <w:cantSplit/>
        </w:trPr>
        <w:tc>
          <w:tcPr>
            <w:tcW w:type="dxa" w:w="648"/>
            <w:tcMar>
              <w:top w:w="30" w:type="dxa"/>
              <w:start w:w="45" w:type="dxa"/>
              <w:bottom w:w="30" w:type="dxa"/>
              <w:end w:w="45" w:type="dxa"/>
            </w:tcMar>
            <w:vAlign w:val="top"/>
            <w:shd w:fill="FAFAFA"/>
          </w:tcPr>
          <w:p>
            <w:pPr>
              <w:spacing w:after="0" w:before="0" w:line="240" w:lineRule="auto"/>
            </w:pPr>
            <w:r>
              <w:rPr>
                <w:sz w:val="14"/>
              </w:rPr>
              <w:t>6</w:t>
            </w:r>
          </w:p>
        </w:tc>
        <w:tc>
          <w:tcPr>
            <w:tcW w:type="dxa" w:w="8784"/>
            <w:tcMar>
              <w:top w:w="30" w:type="dxa"/>
              <w:start w:w="45" w:type="dxa"/>
              <w:bottom w:w="30" w:type="dxa"/>
              <w:end w:w="45" w:type="dxa"/>
            </w:tcMar>
            <w:vAlign w:val="top"/>
            <w:shd w:fill="FAFAFA"/>
          </w:tcPr>
          <w:p>
            <w:pPr>
              <w:spacing w:after="0" w:before="0" w:line="240" w:lineRule="auto"/>
            </w:pPr>
            <w:r>
              <w:rPr>
                <w:sz w:val="14"/>
              </w:rPr>
              <w:t>OSI affiche les statuts utiles et conserve l’audit sans stocker de credentials bancaires.</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EAF2F8"/>
            <w:tcMar>
              <w:top w:w="38" w:type="dxa"/>
              <w:start w:w="50" w:type="dxa"/>
              <w:bottom w:w="38" w:type="dxa"/>
              <w:end w:w="50" w:type="dxa"/>
            </w:tcMar>
            <w:tcBorders>
              <w:left w:val="single" w:sz="18" w:color="2D5F87"/>
            </w:tcBorders>
          </w:tcPr>
          <w:p>
            <w:pPr>
              <w:spacing w:after="0" w:before="0" w:line="240" w:lineRule="auto"/>
            </w:pPr>
            <w:r>
              <w:rPr>
                <w:b/>
                <w:color w:val="2D5F87"/>
                <w:sz w:val="18"/>
              </w:rPr>
              <w:t>À CONFIRMER AVEC GLOBEX</w:t>
            </w:r>
          </w:p>
          <w:p>
            <w:pPr>
              <w:spacing w:after="0" w:before="0" w:line="240" w:lineRule="auto"/>
            </w:pPr>
            <w:r>
              <w:t>API? Webhooks? Préremplissage client? Création de dossier? Deep link? Statuts KYC/paiement? Multi-versements? Formats et SLA? Ces réponses déterminent l’intégration technique.</w:t>
            </w:r>
          </w:p>
        </w:tc>
      </w:tr>
    </w:tbl>
    <w:p>
      <w:pPr>
        <w:spacing w:after="0" w:before="0"/>
      </w:pPr>
    </w:p>
    <w:p>
      <w:pPr>
        <w:pStyle w:val="Heading1"/>
        <w:keepNext/>
        <w:keepNext/>
      </w:pPr>
      <w:r>
        <w:t>6. Trust Engine, Supplier Passport et mémoire OSI</w:t>
      </w:r>
    </w:p>
    <w:p>
      <w:pPr>
        <w:pStyle w:val="SectionSubtitle"/>
      </w:pPr>
      <w:r>
        <w:t>L’avantage défendable vient des résultats réels observés au fil des transactions, pas uniquement de la recherche web.</w:t>
      </w:r>
    </w:p>
    <w:p>
      <w:pPr>
        <w:pStyle w:val="Heading2"/>
        <w:keepNext/>
        <w:keepNext/>
      </w:pPr>
      <w:r>
        <w:t>Supplier Passport — cible</w:t>
      </w:r>
    </w:p>
    <w:p>
      <w:pPr>
        <w:pStyle w:val="ListBullet"/>
        <w:spacing w:after="44"/>
      </w:pPr>
      <w:r>
        <w:t>Identité légale, juridiction, produits et capacités déclarées.</w:t>
      </w:r>
    </w:p>
    <w:p>
      <w:pPr>
        <w:pStyle w:val="ListBullet"/>
        <w:spacing w:after="44"/>
      </w:pPr>
      <w:r>
        <w:t>Certifications et documents avec statut de vérification.</w:t>
      </w:r>
    </w:p>
    <w:p>
      <w:pPr>
        <w:pStyle w:val="ListBullet"/>
        <w:spacing w:after="44"/>
      </w:pPr>
      <w:r>
        <w:t>Références, inspections, marchés desservis et historique OSI.</w:t>
      </w:r>
    </w:p>
    <w:p>
      <w:pPr>
        <w:pStyle w:val="ListBullet"/>
        <w:spacing w:after="44"/>
      </w:pPr>
      <w:r>
        <w:t>Délais promis vs réels, conformité, qualité, litiges et communication.</w:t>
      </w:r>
    </w:p>
    <w:p>
      <w:pPr>
        <w:pStyle w:val="ListBullet"/>
        <w:spacing w:after="44"/>
      </w:pPr>
      <w:r>
        <w:t>Trust Score / Risk Score avec explication, date et données utilisées.</w:t>
      </w:r>
    </w:p>
    <w:p>
      <w:pPr>
        <w:pStyle w:val="Heading2"/>
        <w:keepNext/>
        <w:keepNext/>
      </w:pPr>
      <w:r>
        <w:t>OSI Memory — données qui prennent de la valeur avec le temps</w:t>
      </w:r>
    </w:p>
    <w:p>
      <w:pPr>
        <w:pStyle w:val="ListBullet"/>
        <w:spacing w:after="44"/>
      </w:pPr>
      <w:r>
        <w:t>Quels fournisseurs livrent réellement bien par catégorie.</w:t>
      </w:r>
    </w:p>
    <w:p>
      <w:pPr>
        <w:pStyle w:val="ListBullet"/>
        <w:spacing w:after="44"/>
      </w:pPr>
      <w:r>
        <w:t>Quels délais, coûts et niveaux de qualité se réalisent dans la vraie vie.</w:t>
      </w:r>
    </w:p>
    <w:p>
      <w:pPr>
        <w:pStyle w:val="ListBullet"/>
        <w:spacing w:after="44"/>
      </w:pPr>
      <w:r>
        <w:t>Quels partenaires performent le mieux selon pays, produit et montant.</w:t>
      </w:r>
    </w:p>
    <w:p>
      <w:pPr>
        <w:pStyle w:val="ListBullet"/>
        <w:spacing w:after="44"/>
      </w:pPr>
      <w:r>
        <w:t>Quels risques reviennent et quelles protections fonctionnent.</w:t>
      </w:r>
    </w:p>
    <w:p>
      <w:pPr>
        <w:pStyle w:val="ListBullet"/>
        <w:spacing w:after="44"/>
      </w:pPr>
      <w:r>
        <w:t>Quelles recommandations OSI sont acceptées ou rejetées et pourquoi.</w:t>
      </w:r>
    </w:p>
    <w:p>
      <w:pPr>
        <w:pStyle w:val="ListBullet"/>
        <w:spacing w:after="44"/>
      </w:pPr>
      <w:r>
        <w:t>Écart entre coût estimé et coût réel final.</w:t>
      </w:r>
    </w:p>
    <w:tbl>
      <w:tblPr>
        <w:tblW w:type="auto" w:w="0"/>
        <w:jc w:val="center"/>
        <w:tblLayout w:type="autofit"/>
        <w:tblLook w:firstColumn="1" w:firstRow="1" w:lastColumn="0" w:lastRow="0" w:noHBand="0" w:noVBand="1" w:val="04A0"/>
      </w:tblPr>
      <w:tblGrid>
        <w:gridCol w:w="10123"/>
      </w:tblGrid>
      <w:tr>
        <w:trPr>
          <w:cantSplit/>
        </w:trPr>
        <w:tc>
          <w:tcPr>
            <w:tcW w:type="dxa" w:w="10123"/>
            <w:shd w:fill="EAF2F8"/>
            <w:tcMar>
              <w:top w:w="38" w:type="dxa"/>
              <w:start w:w="50" w:type="dxa"/>
              <w:bottom w:w="38" w:type="dxa"/>
              <w:end w:w="50" w:type="dxa"/>
            </w:tcMar>
            <w:tcBorders>
              <w:left w:val="single" w:sz="18" w:color="2D5F87"/>
            </w:tcBorders>
          </w:tcPr>
          <w:p>
            <w:pPr>
              <w:spacing w:after="0" w:before="0" w:line="240" w:lineRule="auto"/>
            </w:pPr>
            <w:r>
              <w:rPr>
                <w:b/>
                <w:color w:val="2D5F87"/>
                <w:sz w:val="18"/>
              </w:rPr>
              <w:t>RECOMMANDATION</w:t>
            </w:r>
          </w:p>
          <w:p>
            <w:pPr>
              <w:spacing w:after="0" w:before="0" w:line="240" w:lineRule="auto"/>
            </w:pPr>
            <w:r>
              <w:t>Séparer Supplier Score, Buyer/Counterparty Score et Transaction Risk Score. Une entreprise solide peut participer à une transaction mal structurée; le système doit pouvoir représenter cette nuance.</w:t>
            </w:r>
          </w:p>
        </w:tc>
      </w:tr>
    </w:tbl>
    <w:p>
      <w:pPr>
        <w:spacing w:after="0" w:before="0"/>
      </w:pPr>
    </w:p>
    <w:p>
      <w:pPr>
        <w:pStyle w:val="Heading1"/>
        <w:keepNext/>
        <w:keepNext/>
      </w:pPr>
      <w:r>
        <w:t>7. Architecture technique, données, permissions, sécurité et audit</w:t>
      </w:r>
    </w:p>
    <w:p>
      <w:pPr>
        <w:pStyle w:val="SectionSubtitle"/>
      </w:pPr>
      <w:r>
        <w:t>Un noyau métier stable, des statuts contrôlés et des adaptateurs partenaires. Les détails de workflow doivent être centralisés plutôt que dupliqués dans chaque écran.</w:t>
      </w:r>
    </w:p>
    <w:p>
      <w:pPr>
        <w:pStyle w:val="Heading2"/>
        <w:keepNext/>
        <w:keepNext/>
      </w:pPr>
      <w:r>
        <w:t>Objets métier minimum</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880"/>
            <w:shd w:fill="111111"/>
            <w:tcMar>
              <w:top w:w="38" w:type="dxa"/>
              <w:start w:w="50" w:type="dxa"/>
              <w:bottom w:w="38" w:type="dxa"/>
              <w:end w:w="50" w:type="dxa"/>
            </w:tcMar>
          </w:tcPr>
          <w:p>
            <w:pPr>
              <w:spacing w:after="0" w:before="0" w:line="240" w:lineRule="auto"/>
            </w:pPr>
            <w:r>
              <w:rPr>
                <w:b/>
                <w:color w:val="FFFFFF"/>
                <w:sz w:val="15"/>
              </w:rPr>
              <w:t>Objet</w:t>
            </w:r>
          </w:p>
        </w:tc>
        <w:tc>
          <w:tcPr>
            <w:tcW w:type="dxa" w:w="6624"/>
            <w:shd w:fill="111111"/>
            <w:tcMar>
              <w:top w:w="38" w:type="dxa"/>
              <w:start w:w="50" w:type="dxa"/>
              <w:bottom w:w="38" w:type="dxa"/>
              <w:end w:w="50" w:type="dxa"/>
            </w:tcMar>
          </w:tcPr>
          <w:p>
            <w:pPr>
              <w:spacing w:after="0" w:before="0" w:line="240" w:lineRule="auto"/>
            </w:pPr>
            <w:r>
              <w:rPr>
                <w:b/>
                <w:color w:val="FFFFFF"/>
                <w:sz w:val="15"/>
              </w:rPr>
              <w:t>Rôle</w:t>
            </w:r>
          </w:p>
        </w:tc>
      </w:tr>
      <w:tr>
        <w:trPr>
          <w:cantSplit/>
        </w:trPr>
        <w:tc>
          <w:tcPr>
            <w:tcW w:type="dxa" w:w="2880"/>
            <w:tcMar>
              <w:top w:w="38" w:type="dxa"/>
              <w:start w:w="50" w:type="dxa"/>
              <w:bottom w:w="38" w:type="dxa"/>
              <w:end w:w="50" w:type="dxa"/>
            </w:tcMar>
            <w:vAlign w:val="top"/>
          </w:tcPr>
          <w:p>
            <w:pPr>
              <w:spacing w:after="0" w:before="0" w:line="240" w:lineRule="auto"/>
            </w:pPr>
            <w:r>
              <w:rPr>
                <w:sz w:val="15"/>
              </w:rPr>
              <w:t>BuyerRequest</w:t>
            </w:r>
          </w:p>
        </w:tc>
        <w:tc>
          <w:tcPr>
            <w:tcW w:type="dxa" w:w="6624"/>
            <w:tcMar>
              <w:top w:w="38" w:type="dxa"/>
              <w:start w:w="50" w:type="dxa"/>
              <w:bottom w:w="38" w:type="dxa"/>
              <w:end w:w="50" w:type="dxa"/>
            </w:tcMar>
            <w:vAlign w:val="top"/>
          </w:tcPr>
          <w:p>
            <w:pPr>
              <w:spacing w:after="0" w:before="0" w:line="240" w:lineRule="auto"/>
            </w:pPr>
            <w:r>
              <w:rPr>
                <w:sz w:val="15"/>
              </w:rPr>
              <w:t>Besoin acheteur, cahier des charges et contexte de décision.</w:t>
            </w:r>
          </w:p>
        </w:tc>
      </w:tr>
      <w:tr>
        <w:trPr>
          <w:cantSplit/>
        </w:trPr>
        <w:tc>
          <w:tcPr>
            <w:tcW w:type="dxa" w:w="2880"/>
            <w:tcMar>
              <w:top w:w="38" w:type="dxa"/>
              <w:start w:w="50" w:type="dxa"/>
              <w:bottom w:w="38" w:type="dxa"/>
              <w:end w:w="50" w:type="dxa"/>
            </w:tcMar>
            <w:vAlign w:val="top"/>
            <w:shd w:fill="FAFAFA"/>
          </w:tcPr>
          <w:p>
            <w:pPr>
              <w:spacing w:after="0" w:before="0" w:line="240" w:lineRule="auto"/>
            </w:pPr>
            <w:r>
              <w:rPr>
                <w:sz w:val="15"/>
              </w:rPr>
              <w:t>Supplier / SupplierPassport</w:t>
            </w:r>
          </w:p>
        </w:tc>
        <w:tc>
          <w:tcPr>
            <w:tcW w:type="dxa" w:w="6624"/>
            <w:tcMar>
              <w:top w:w="38" w:type="dxa"/>
              <w:start w:w="50" w:type="dxa"/>
              <w:bottom w:w="38" w:type="dxa"/>
              <w:end w:w="50" w:type="dxa"/>
            </w:tcMar>
            <w:vAlign w:val="top"/>
            <w:shd w:fill="FAFAFA"/>
          </w:tcPr>
          <w:p>
            <w:pPr>
              <w:spacing w:after="0" w:before="0" w:line="240" w:lineRule="auto"/>
            </w:pPr>
            <w:r>
              <w:rPr>
                <w:sz w:val="15"/>
              </w:rPr>
              <w:t>Profil fournisseur candidat ou actif et données de confiance.</w:t>
            </w:r>
          </w:p>
        </w:tc>
      </w:tr>
      <w:tr>
        <w:trPr>
          <w:cantSplit/>
        </w:trPr>
        <w:tc>
          <w:tcPr>
            <w:tcW w:type="dxa" w:w="2880"/>
            <w:tcMar>
              <w:top w:w="38" w:type="dxa"/>
              <w:start w:w="50" w:type="dxa"/>
              <w:bottom w:w="38" w:type="dxa"/>
              <w:end w:w="50" w:type="dxa"/>
            </w:tcMar>
            <w:vAlign w:val="top"/>
          </w:tcPr>
          <w:p>
            <w:pPr>
              <w:spacing w:after="0" w:before="0" w:line="240" w:lineRule="auto"/>
            </w:pPr>
            <w:r>
              <w:rPr>
                <w:sz w:val="15"/>
              </w:rPr>
              <w:t>RFQ</w:t>
            </w:r>
          </w:p>
        </w:tc>
        <w:tc>
          <w:tcPr>
            <w:tcW w:type="dxa" w:w="6624"/>
            <w:tcMar>
              <w:top w:w="38" w:type="dxa"/>
              <w:start w:w="50" w:type="dxa"/>
              <w:bottom w:w="38" w:type="dxa"/>
              <w:end w:w="50" w:type="dxa"/>
            </w:tcMar>
            <w:vAlign w:val="top"/>
          </w:tcPr>
          <w:p>
            <w:pPr>
              <w:spacing w:after="0" w:before="0" w:line="240" w:lineRule="auto"/>
            </w:pPr>
            <w:r>
              <w:rPr>
                <w:sz w:val="15"/>
              </w:rPr>
              <w:t>Demande de soumission envoyée à un fournisseur.</w:t>
            </w:r>
          </w:p>
        </w:tc>
      </w:tr>
      <w:tr>
        <w:trPr>
          <w:cantSplit/>
        </w:trPr>
        <w:tc>
          <w:tcPr>
            <w:tcW w:type="dxa" w:w="2880"/>
            <w:tcMar>
              <w:top w:w="38" w:type="dxa"/>
              <w:start w:w="50" w:type="dxa"/>
              <w:bottom w:w="38" w:type="dxa"/>
              <w:end w:w="50" w:type="dxa"/>
            </w:tcMar>
            <w:vAlign w:val="top"/>
            <w:shd w:fill="FAFAFA"/>
          </w:tcPr>
          <w:p>
            <w:pPr>
              <w:spacing w:after="0" w:before="0" w:line="240" w:lineRule="auto"/>
            </w:pPr>
            <w:r>
              <w:rPr>
                <w:sz w:val="15"/>
              </w:rPr>
              <w:t>Offer</w:t>
            </w:r>
          </w:p>
        </w:tc>
        <w:tc>
          <w:tcPr>
            <w:tcW w:type="dxa" w:w="6624"/>
            <w:tcMar>
              <w:top w:w="38" w:type="dxa"/>
              <w:start w:w="50" w:type="dxa"/>
              <w:bottom w:w="38" w:type="dxa"/>
              <w:end w:w="50" w:type="dxa"/>
            </w:tcMar>
            <w:vAlign w:val="top"/>
            <w:shd w:fill="FAFAFA"/>
          </w:tcPr>
          <w:p>
            <w:pPr>
              <w:spacing w:after="0" w:before="0" w:line="240" w:lineRule="auto"/>
            </w:pPr>
            <w:r>
              <w:rPr>
                <w:sz w:val="15"/>
              </w:rPr>
              <w:t>Soumission versionnée : prix, termes, documents, validité.</w:t>
            </w:r>
          </w:p>
        </w:tc>
      </w:tr>
      <w:tr>
        <w:trPr>
          <w:cantSplit/>
        </w:trPr>
        <w:tc>
          <w:tcPr>
            <w:tcW w:type="dxa" w:w="2880"/>
            <w:tcMar>
              <w:top w:w="38" w:type="dxa"/>
              <w:start w:w="50" w:type="dxa"/>
              <w:bottom w:w="38" w:type="dxa"/>
              <w:end w:w="50" w:type="dxa"/>
            </w:tcMar>
            <w:vAlign w:val="top"/>
          </w:tcPr>
          <w:p>
            <w:pPr>
              <w:spacing w:after="0" w:before="0" w:line="240" w:lineRule="auto"/>
            </w:pPr>
            <w:r>
              <w:rPr>
                <w:sz w:val="15"/>
              </w:rPr>
              <w:t>KPIResult</w:t>
            </w:r>
          </w:p>
        </w:tc>
        <w:tc>
          <w:tcPr>
            <w:tcW w:type="dxa" w:w="6624"/>
            <w:tcMar>
              <w:top w:w="38" w:type="dxa"/>
              <w:start w:w="50" w:type="dxa"/>
              <w:bottom w:w="38" w:type="dxa"/>
              <w:end w:w="50" w:type="dxa"/>
            </w:tcMar>
            <w:vAlign w:val="top"/>
          </w:tcPr>
          <w:p>
            <w:pPr>
              <w:spacing w:after="0" w:before="0" w:line="240" w:lineRule="auto"/>
            </w:pPr>
            <w:r>
              <w:rPr>
                <w:sz w:val="15"/>
              </w:rPr>
              <w:t>Résultat de scoring versionné avec raisons.</w:t>
            </w:r>
          </w:p>
        </w:tc>
      </w:tr>
      <w:tr>
        <w:trPr>
          <w:cantSplit/>
        </w:trPr>
        <w:tc>
          <w:tcPr>
            <w:tcW w:type="dxa" w:w="2880"/>
            <w:tcMar>
              <w:top w:w="38" w:type="dxa"/>
              <w:start w:w="50" w:type="dxa"/>
              <w:bottom w:w="38" w:type="dxa"/>
              <w:end w:w="50" w:type="dxa"/>
            </w:tcMar>
            <w:vAlign w:val="top"/>
            <w:shd w:fill="FAFAFA"/>
          </w:tcPr>
          <w:p>
            <w:pPr>
              <w:spacing w:after="0" w:before="0" w:line="240" w:lineRule="auto"/>
            </w:pPr>
            <w:r>
              <w:rPr>
                <w:sz w:val="15"/>
              </w:rPr>
              <w:t>PartnerCase / PartnerEnrichment</w:t>
            </w:r>
          </w:p>
        </w:tc>
        <w:tc>
          <w:tcPr>
            <w:tcW w:type="dxa" w:w="6624"/>
            <w:tcMar>
              <w:top w:w="38" w:type="dxa"/>
              <w:start w:w="50" w:type="dxa"/>
              <w:bottom w:w="38" w:type="dxa"/>
              <w:end w:w="50" w:type="dxa"/>
            </w:tcMar>
            <w:vAlign w:val="top"/>
            <w:shd w:fill="FAFAFA"/>
          </w:tcPr>
          <w:p>
            <w:pPr>
              <w:spacing w:after="0" w:before="0" w:line="240" w:lineRule="auto"/>
            </w:pPr>
            <w:r>
              <w:rPr>
                <w:sz w:val="15"/>
              </w:rPr>
              <w:t>Sous-dossier partenaire et réponse associée à une offre ou un deal.</w:t>
            </w:r>
          </w:p>
        </w:tc>
      </w:tr>
      <w:tr>
        <w:trPr>
          <w:cantSplit/>
        </w:trPr>
        <w:tc>
          <w:tcPr>
            <w:tcW w:type="dxa" w:w="2880"/>
            <w:tcMar>
              <w:top w:w="38" w:type="dxa"/>
              <w:start w:w="50" w:type="dxa"/>
              <w:bottom w:w="38" w:type="dxa"/>
              <w:end w:w="50" w:type="dxa"/>
            </w:tcMar>
            <w:vAlign w:val="top"/>
          </w:tcPr>
          <w:p>
            <w:pPr>
              <w:spacing w:after="0" w:before="0" w:line="240" w:lineRule="auto"/>
            </w:pPr>
            <w:r>
              <w:rPr>
                <w:sz w:val="15"/>
              </w:rPr>
              <w:t>DecisionPack</w:t>
            </w:r>
          </w:p>
        </w:tc>
        <w:tc>
          <w:tcPr>
            <w:tcW w:type="dxa" w:w="6624"/>
            <w:tcMar>
              <w:top w:w="38" w:type="dxa"/>
              <w:start w:w="50" w:type="dxa"/>
              <w:bottom w:w="38" w:type="dxa"/>
              <w:end w:w="50" w:type="dxa"/>
            </w:tcMar>
            <w:vAlign w:val="top"/>
          </w:tcPr>
          <w:p>
            <w:pPr>
              <w:spacing w:after="0" w:before="0" w:line="240" w:lineRule="auto"/>
            </w:pPr>
            <w:r>
              <w:rPr>
                <w:sz w:val="15"/>
              </w:rPr>
              <w:t>Top 5 final présenté au client.</w:t>
            </w:r>
          </w:p>
        </w:tc>
      </w:tr>
      <w:tr>
        <w:trPr>
          <w:cantSplit/>
        </w:trPr>
        <w:tc>
          <w:tcPr>
            <w:tcW w:type="dxa" w:w="2880"/>
            <w:tcMar>
              <w:top w:w="38" w:type="dxa"/>
              <w:start w:w="50" w:type="dxa"/>
              <w:bottom w:w="38" w:type="dxa"/>
              <w:end w:w="50" w:type="dxa"/>
            </w:tcMar>
            <w:vAlign w:val="top"/>
            <w:shd w:fill="FAFAFA"/>
          </w:tcPr>
          <w:p>
            <w:pPr>
              <w:spacing w:after="0" w:before="0" w:line="240" w:lineRule="auto"/>
            </w:pPr>
            <w:r>
              <w:rPr>
                <w:sz w:val="15"/>
              </w:rPr>
              <w:t>Deal</w:t>
            </w:r>
          </w:p>
        </w:tc>
        <w:tc>
          <w:tcPr>
            <w:tcW w:type="dxa" w:w="6624"/>
            <w:tcMar>
              <w:top w:w="38" w:type="dxa"/>
              <w:start w:w="50" w:type="dxa"/>
              <w:bottom w:w="38" w:type="dxa"/>
              <w:end w:w="50" w:type="dxa"/>
            </w:tcMar>
            <w:vAlign w:val="top"/>
            <w:shd w:fill="FAFAFA"/>
          </w:tcPr>
          <w:p>
            <w:pPr>
              <w:spacing w:after="0" w:before="0" w:line="240" w:lineRule="auto"/>
            </w:pPr>
            <w:r>
              <w:rPr>
                <w:sz w:val="15"/>
              </w:rPr>
              <w:t>Dossier créé après choix du fournisseur.</w:t>
            </w:r>
          </w:p>
        </w:tc>
      </w:tr>
      <w:tr>
        <w:trPr>
          <w:cantSplit/>
        </w:trPr>
        <w:tc>
          <w:tcPr>
            <w:tcW w:type="dxa" w:w="2880"/>
            <w:tcMar>
              <w:top w:w="38" w:type="dxa"/>
              <w:start w:w="50" w:type="dxa"/>
              <w:bottom w:w="38" w:type="dxa"/>
              <w:end w:w="50" w:type="dxa"/>
            </w:tcMar>
            <w:vAlign w:val="top"/>
          </w:tcPr>
          <w:p>
            <w:pPr>
              <w:spacing w:after="0" w:before="0" w:line="240" w:lineRule="auto"/>
            </w:pPr>
            <w:r>
              <w:rPr>
                <w:sz w:val="15"/>
              </w:rPr>
              <w:t>DocumentRequest</w:t>
            </w:r>
          </w:p>
        </w:tc>
        <w:tc>
          <w:tcPr>
            <w:tcW w:type="dxa" w:w="6624"/>
            <w:tcMar>
              <w:top w:w="38" w:type="dxa"/>
              <w:start w:w="50" w:type="dxa"/>
              <w:bottom w:w="38" w:type="dxa"/>
              <w:end w:w="50" w:type="dxa"/>
            </w:tcMar>
            <w:vAlign w:val="top"/>
          </w:tcPr>
          <w:p>
            <w:pPr>
              <w:spacing w:after="0" w:before="0" w:line="240" w:lineRule="auto"/>
            </w:pPr>
            <w:r>
              <w:rPr>
                <w:sz w:val="15"/>
              </w:rPr>
              <w:t>Demande de document, destinataire, échéance, statut.</w:t>
            </w:r>
          </w:p>
        </w:tc>
      </w:tr>
      <w:tr>
        <w:trPr>
          <w:cantSplit/>
        </w:trPr>
        <w:tc>
          <w:tcPr>
            <w:tcW w:type="dxa" w:w="2880"/>
            <w:tcMar>
              <w:top w:w="38" w:type="dxa"/>
              <w:start w:w="50" w:type="dxa"/>
              <w:bottom w:w="38" w:type="dxa"/>
              <w:end w:w="50" w:type="dxa"/>
            </w:tcMar>
            <w:vAlign w:val="top"/>
            <w:shd w:fill="FAFAFA"/>
          </w:tcPr>
          <w:p>
            <w:pPr>
              <w:spacing w:after="0" w:before="0" w:line="240" w:lineRule="auto"/>
            </w:pPr>
            <w:r>
              <w:rPr>
                <w:sz w:val="15"/>
              </w:rPr>
              <w:t>ClientServiceFee / ClientInvoice / PartnerRevenueShare</w:t>
            </w:r>
          </w:p>
        </w:tc>
        <w:tc>
          <w:tcPr>
            <w:tcW w:type="dxa" w:w="6624"/>
            <w:tcMar>
              <w:top w:w="38" w:type="dxa"/>
              <w:start w:w="50" w:type="dxa"/>
              <w:bottom w:w="38" w:type="dxa"/>
              <w:end w:w="50" w:type="dxa"/>
            </w:tcMar>
            <w:vAlign w:val="top"/>
            <w:shd w:fill="FAFAFA"/>
          </w:tcPr>
          <w:p>
            <w:pPr>
              <w:spacing w:after="0" w:before="0" w:line="240" w:lineRule="auto"/>
            </w:pPr>
            <w:r>
              <w:rPr>
                <w:sz w:val="15"/>
              </w:rPr>
              <w:t>Honoraires client intégrés au règlement, facture justificative et revenu partenaire suivis séparément.</w:t>
            </w:r>
          </w:p>
        </w:tc>
      </w:tr>
      <w:tr>
        <w:trPr>
          <w:cantSplit/>
        </w:trPr>
        <w:tc>
          <w:tcPr>
            <w:tcW w:type="dxa" w:w="2880"/>
            <w:tcMar>
              <w:top w:w="38" w:type="dxa"/>
              <w:start w:w="50" w:type="dxa"/>
              <w:bottom w:w="38" w:type="dxa"/>
              <w:end w:w="50" w:type="dxa"/>
            </w:tcMar>
            <w:vAlign w:val="top"/>
          </w:tcPr>
          <w:p>
            <w:pPr>
              <w:spacing w:after="0" w:before="0" w:line="240" w:lineRule="auto"/>
            </w:pPr>
            <w:r>
              <w:rPr>
                <w:sz w:val="15"/>
              </w:rPr>
              <w:t>AuditEvent</w:t>
            </w:r>
          </w:p>
        </w:tc>
        <w:tc>
          <w:tcPr>
            <w:tcW w:type="dxa" w:w="6624"/>
            <w:tcMar>
              <w:top w:w="38" w:type="dxa"/>
              <w:start w:w="50" w:type="dxa"/>
              <w:bottom w:w="38" w:type="dxa"/>
              <w:end w:w="50" w:type="dxa"/>
            </w:tcMar>
            <w:vAlign w:val="top"/>
          </w:tcPr>
          <w:p>
            <w:pPr>
              <w:spacing w:after="0" w:before="0" w:line="240" w:lineRule="auto"/>
            </w:pPr>
            <w:r>
              <w:rPr>
                <w:sz w:val="15"/>
              </w:rPr>
              <w:t>Journal des actions et décisions sensibles.</w:t>
            </w:r>
          </w:p>
        </w:tc>
      </w:tr>
    </w:tbl>
    <w:p>
      <w:pPr>
        <w:spacing w:after="0" w:before="0"/>
      </w:pPr>
    </w:p>
    <w:p>
      <w:pPr>
        <w:pStyle w:val="Heading2"/>
        <w:keepNext/>
        <w:keepNext/>
      </w:pPr>
      <w:r>
        <w:t>Architecture d’intégration</w:t>
      </w:r>
    </w:p>
    <w:p>
      <w:pPr>
        <w:pStyle w:val="ListBullet"/>
        <w:spacing w:after="44"/>
      </w:pPr>
      <w:r>
        <w:t>API interne commune pour les modules produit.</w:t>
      </w:r>
    </w:p>
    <w:p>
      <w:pPr>
        <w:pStyle w:val="ListBullet"/>
        <w:spacing w:after="44"/>
      </w:pPr>
      <w:r>
        <w:t>PartnerAdapter générique : createCase(), requestDocument(), getStatus(), redirectUrl(), receiveWebhook().</w:t>
      </w:r>
    </w:p>
    <w:p>
      <w:pPr>
        <w:pStyle w:val="ListBullet"/>
        <w:spacing w:after="44"/>
      </w:pPr>
      <w:r>
        <w:t>Webhooks signés et idempotents; polling uniquement si nécessaire.</w:t>
      </w:r>
    </w:p>
    <w:p>
      <w:pPr>
        <w:pStyle w:val="ListBullet"/>
        <w:spacing w:after="44"/>
      </w:pPr>
      <w:r>
        <w:t>Jobs asynchrones pour recherche, scoring, documents, relances et partenaires.</w:t>
      </w:r>
    </w:p>
    <w:p>
      <w:pPr>
        <w:pStyle w:val="ListBullet"/>
        <w:spacing w:after="44"/>
      </w:pPr>
      <w:r>
        <w:t>Versionner KPIProfile, prompts, contrats et offres pour expliquer une décision passée.</w:t>
      </w:r>
    </w:p>
    <w:p>
      <w:pPr>
        <w:pStyle w:val="ListBullet"/>
        <w:spacing w:after="44"/>
      </w:pPr>
      <w:r>
        <w:t>Feature flags pour paiement, KYC, signatures ou toute fonction non encore validée juridiquement.</w:t>
      </w:r>
    </w:p>
    <w:p>
      <w:pPr>
        <w:pStyle w:val="Heading2"/>
        <w:keepNext/>
        <w:keepNext/>
      </w:pPr>
      <w:r>
        <w:t>Permissions et données sensibles</w:t>
      </w:r>
    </w:p>
    <w:tbl>
      <w:tblPr>
        <w:tblStyle w:val="TableGrid"/>
        <w:tblW w:type="auto" w:w="0"/>
        <w:jc w:val="center"/>
        <w:tblLayout w:type="fixed"/>
        <w:tblLook w:firstColumn="1" w:firstRow="1" w:lastColumn="0" w:lastRow="0" w:noHBand="0" w:noVBand="1" w:val="04A0"/>
      </w:tblPr>
      <w:tblGrid>
        <w:gridCol w:w="2025"/>
        <w:gridCol w:w="2025"/>
        <w:gridCol w:w="2025"/>
        <w:gridCol w:w="2025"/>
        <w:gridCol w:w="2025"/>
      </w:tblGrid>
      <w:tr>
        <w:trPr>
          <w:tblHeader w:val="true"/>
          <w:cantSplit/>
        </w:trPr>
        <w:tc>
          <w:tcPr>
            <w:tcW w:type="dxa" w:w="2520"/>
            <w:shd w:fill="111111"/>
            <w:tcMar>
              <w:top w:w="38" w:type="dxa"/>
              <w:start w:w="50" w:type="dxa"/>
              <w:bottom w:w="38" w:type="dxa"/>
              <w:end w:w="50" w:type="dxa"/>
            </w:tcMar>
          </w:tcPr>
          <w:p>
            <w:pPr>
              <w:spacing w:after="0" w:before="0" w:line="240" w:lineRule="auto"/>
            </w:pPr>
            <w:r>
              <w:rPr>
                <w:b/>
                <w:color w:val="FFFFFF"/>
                <w:sz w:val="14"/>
              </w:rPr>
              <w:t>Action / donnée</w:t>
            </w:r>
          </w:p>
        </w:tc>
        <w:tc>
          <w:tcPr>
            <w:tcW w:type="dxa" w:w="1584"/>
            <w:shd w:fill="111111"/>
            <w:tcMar>
              <w:top w:w="38" w:type="dxa"/>
              <w:start w:w="50" w:type="dxa"/>
              <w:bottom w:w="38" w:type="dxa"/>
              <w:end w:w="50" w:type="dxa"/>
            </w:tcMar>
          </w:tcPr>
          <w:p>
            <w:pPr>
              <w:spacing w:after="0" w:before="0" w:line="240" w:lineRule="auto"/>
            </w:pPr>
            <w:r>
              <w:rPr>
                <w:b/>
                <w:color w:val="FFFFFF"/>
                <w:sz w:val="14"/>
              </w:rPr>
              <w:t>Acheteur</w:t>
            </w:r>
          </w:p>
        </w:tc>
        <w:tc>
          <w:tcPr>
            <w:tcW w:type="dxa" w:w="1584"/>
            <w:shd w:fill="111111"/>
            <w:tcMar>
              <w:top w:w="38" w:type="dxa"/>
              <w:start w:w="50" w:type="dxa"/>
              <w:bottom w:w="38" w:type="dxa"/>
              <w:end w:w="50" w:type="dxa"/>
            </w:tcMar>
          </w:tcPr>
          <w:p>
            <w:pPr>
              <w:spacing w:after="0" w:before="0" w:line="240" w:lineRule="auto"/>
            </w:pPr>
            <w:r>
              <w:rPr>
                <w:b/>
                <w:color w:val="FFFFFF"/>
                <w:sz w:val="14"/>
              </w:rPr>
              <w:t>Fournisseur</w:t>
            </w:r>
          </w:p>
        </w:tc>
        <w:tc>
          <w:tcPr>
            <w:tcW w:type="dxa" w:w="1800"/>
            <w:shd w:fill="111111"/>
            <w:tcMar>
              <w:top w:w="38" w:type="dxa"/>
              <w:start w:w="50" w:type="dxa"/>
              <w:bottom w:w="38" w:type="dxa"/>
              <w:end w:w="50" w:type="dxa"/>
            </w:tcMar>
          </w:tcPr>
          <w:p>
            <w:pPr>
              <w:spacing w:after="0" w:before="0" w:line="240" w:lineRule="auto"/>
            </w:pPr>
            <w:r>
              <w:rPr>
                <w:b/>
                <w:color w:val="FFFFFF"/>
                <w:sz w:val="14"/>
              </w:rPr>
              <w:t>OSI</w:t>
            </w:r>
          </w:p>
        </w:tc>
        <w:tc>
          <w:tcPr>
            <w:tcW w:type="dxa" w:w="2088"/>
            <w:shd w:fill="111111"/>
            <w:tcMar>
              <w:top w:w="38" w:type="dxa"/>
              <w:start w:w="50" w:type="dxa"/>
              <w:bottom w:w="38" w:type="dxa"/>
              <w:end w:w="50" w:type="dxa"/>
            </w:tcMar>
          </w:tcPr>
          <w:p>
            <w:pPr>
              <w:spacing w:after="0" w:before="0" w:line="240" w:lineRule="auto"/>
            </w:pPr>
            <w:r>
              <w:rPr>
                <w:b/>
                <w:color w:val="FFFFFF"/>
                <w:sz w:val="14"/>
              </w:rPr>
              <w:t>Partenaire assigné</w:t>
            </w:r>
          </w:p>
        </w:tc>
      </w:tr>
      <w:tr>
        <w:trPr>
          <w:cantSplit/>
        </w:trPr>
        <w:tc>
          <w:tcPr>
            <w:tcW w:type="dxa" w:w="2520"/>
            <w:tcMar>
              <w:top w:w="38" w:type="dxa"/>
              <w:start w:w="50" w:type="dxa"/>
              <w:bottom w:w="38" w:type="dxa"/>
              <w:end w:w="50" w:type="dxa"/>
            </w:tcMar>
            <w:vAlign w:val="top"/>
          </w:tcPr>
          <w:p>
            <w:pPr>
              <w:spacing w:after="0" w:before="0" w:line="240" w:lineRule="auto"/>
            </w:pPr>
            <w:r>
              <w:rPr>
                <w:sz w:val="14"/>
              </w:rPr>
              <w:t>Top 5 final</w:t>
            </w:r>
          </w:p>
        </w:tc>
        <w:tc>
          <w:tcPr>
            <w:tcW w:type="dxa" w:w="1584"/>
            <w:tcMar>
              <w:top w:w="38" w:type="dxa"/>
              <w:start w:w="50" w:type="dxa"/>
              <w:bottom w:w="38" w:type="dxa"/>
              <w:end w:w="50" w:type="dxa"/>
            </w:tcMar>
            <w:vAlign w:val="top"/>
          </w:tcPr>
          <w:p>
            <w:pPr>
              <w:spacing w:after="0" w:before="0" w:line="240" w:lineRule="auto"/>
            </w:pPr>
            <w:r>
              <w:rPr>
                <w:sz w:val="14"/>
              </w:rPr>
              <w:t>Oui</w:t>
            </w:r>
          </w:p>
        </w:tc>
        <w:tc>
          <w:tcPr>
            <w:tcW w:type="dxa" w:w="1584"/>
            <w:tcMar>
              <w:top w:w="38" w:type="dxa"/>
              <w:start w:w="50" w:type="dxa"/>
              <w:bottom w:w="38" w:type="dxa"/>
              <w:end w:w="50" w:type="dxa"/>
            </w:tcMar>
            <w:vAlign w:val="top"/>
          </w:tcPr>
          <w:p>
            <w:pPr>
              <w:spacing w:after="0" w:before="0" w:line="240" w:lineRule="auto"/>
            </w:pPr>
            <w:r>
              <w:rPr>
                <w:sz w:val="14"/>
              </w:rPr>
              <w:t>Non</w:t>
            </w:r>
          </w:p>
        </w:tc>
        <w:tc>
          <w:tcPr>
            <w:tcW w:type="dxa" w:w="1800"/>
            <w:tcMar>
              <w:top w:w="38" w:type="dxa"/>
              <w:start w:w="50" w:type="dxa"/>
              <w:bottom w:w="38" w:type="dxa"/>
              <w:end w:w="50" w:type="dxa"/>
            </w:tcMar>
            <w:vAlign w:val="top"/>
          </w:tcPr>
          <w:p>
            <w:pPr>
              <w:spacing w:after="0" w:before="0" w:line="240" w:lineRule="auto"/>
            </w:pPr>
            <w:r>
              <w:rPr>
                <w:sz w:val="14"/>
              </w:rPr>
              <w:t>Oui</w:t>
            </w:r>
          </w:p>
        </w:tc>
        <w:tc>
          <w:tcPr>
            <w:tcW w:type="dxa" w:w="2088"/>
            <w:tcMar>
              <w:top w:w="38" w:type="dxa"/>
              <w:start w:w="50" w:type="dxa"/>
              <w:bottom w:w="38" w:type="dxa"/>
              <w:end w:w="50" w:type="dxa"/>
            </w:tcMar>
            <w:vAlign w:val="top"/>
          </w:tcPr>
          <w:p>
            <w:pPr>
              <w:spacing w:after="0" w:before="0" w:line="240" w:lineRule="auto"/>
            </w:pPr>
            <w:r>
              <w:rPr>
                <w:sz w:val="14"/>
              </w:rPr>
              <w:t>Seulement si nécessaire</w:t>
            </w:r>
          </w:p>
        </w:tc>
      </w:tr>
      <w:tr>
        <w:trPr>
          <w:cantSplit/>
        </w:trPr>
        <w:tc>
          <w:tcPr>
            <w:tcW w:type="dxa" w:w="2520"/>
            <w:tcMar>
              <w:top w:w="38" w:type="dxa"/>
              <w:start w:w="50" w:type="dxa"/>
              <w:bottom w:w="38" w:type="dxa"/>
              <w:end w:w="50" w:type="dxa"/>
            </w:tcMar>
            <w:vAlign w:val="top"/>
            <w:shd w:fill="FAFAFA"/>
          </w:tcPr>
          <w:p>
            <w:pPr>
              <w:spacing w:after="0" w:before="0" w:line="240" w:lineRule="auto"/>
            </w:pPr>
            <w:r>
              <w:rPr>
                <w:sz w:val="14"/>
              </w:rPr>
              <w:t>Prix concurrents</w:t>
            </w:r>
          </w:p>
        </w:tc>
        <w:tc>
          <w:tcPr>
            <w:tcW w:type="dxa" w:w="1584"/>
            <w:tcMar>
              <w:top w:w="38" w:type="dxa"/>
              <w:start w:w="50" w:type="dxa"/>
              <w:bottom w:w="38" w:type="dxa"/>
              <w:end w:w="50" w:type="dxa"/>
            </w:tcMar>
            <w:vAlign w:val="top"/>
            <w:shd w:fill="FAFAFA"/>
          </w:tcPr>
          <w:p>
            <w:pPr>
              <w:spacing w:after="0" w:before="0" w:line="240" w:lineRule="auto"/>
            </w:pPr>
            <w:r>
              <w:rPr>
                <w:sz w:val="14"/>
              </w:rPr>
              <w:t>Oui</w:t>
            </w:r>
          </w:p>
        </w:tc>
        <w:tc>
          <w:tcPr>
            <w:tcW w:type="dxa" w:w="1584"/>
            <w:tcMar>
              <w:top w:w="38" w:type="dxa"/>
              <w:start w:w="50" w:type="dxa"/>
              <w:bottom w:w="38" w:type="dxa"/>
              <w:end w:w="50" w:type="dxa"/>
            </w:tcMar>
            <w:vAlign w:val="top"/>
            <w:shd w:fill="FAFAFA"/>
          </w:tcPr>
          <w:p>
            <w:pPr>
              <w:spacing w:after="0" w:before="0" w:line="240" w:lineRule="auto"/>
            </w:pPr>
            <w:r>
              <w:rPr>
                <w:sz w:val="14"/>
              </w:rPr>
              <w:t>Non</w:t>
            </w:r>
          </w:p>
        </w:tc>
        <w:tc>
          <w:tcPr>
            <w:tcW w:type="dxa" w:w="1800"/>
            <w:tcMar>
              <w:top w:w="38" w:type="dxa"/>
              <w:start w:w="50" w:type="dxa"/>
              <w:bottom w:w="38" w:type="dxa"/>
              <w:end w:w="50" w:type="dxa"/>
            </w:tcMar>
            <w:vAlign w:val="top"/>
            <w:shd w:fill="FAFAFA"/>
          </w:tcPr>
          <w:p>
            <w:pPr>
              <w:spacing w:after="0" w:before="0" w:line="240" w:lineRule="auto"/>
            </w:pPr>
            <w:r>
              <w:rPr>
                <w:sz w:val="14"/>
              </w:rPr>
              <w:t>Oui</w:t>
            </w:r>
          </w:p>
        </w:tc>
        <w:tc>
          <w:tcPr>
            <w:tcW w:type="dxa" w:w="2088"/>
            <w:tcMar>
              <w:top w:w="38" w:type="dxa"/>
              <w:start w:w="50" w:type="dxa"/>
              <w:bottom w:w="38" w:type="dxa"/>
              <w:end w:w="50" w:type="dxa"/>
            </w:tcMar>
            <w:vAlign w:val="top"/>
            <w:shd w:fill="FAFAFA"/>
          </w:tcPr>
          <w:p>
            <w:pPr>
              <w:spacing w:after="0" w:before="0" w:line="240" w:lineRule="auto"/>
            </w:pPr>
            <w:r>
              <w:rPr>
                <w:sz w:val="14"/>
              </w:rPr>
              <w:t>Non</w:t>
            </w:r>
          </w:p>
        </w:tc>
      </w:tr>
      <w:tr>
        <w:trPr>
          <w:cantSplit/>
        </w:trPr>
        <w:tc>
          <w:tcPr>
            <w:tcW w:type="dxa" w:w="2520"/>
            <w:tcMar>
              <w:top w:w="38" w:type="dxa"/>
              <w:start w:w="50" w:type="dxa"/>
              <w:bottom w:w="38" w:type="dxa"/>
              <w:end w:w="50" w:type="dxa"/>
            </w:tcMar>
            <w:vAlign w:val="top"/>
          </w:tcPr>
          <w:p>
            <w:pPr>
              <w:spacing w:after="0" w:before="0" w:line="240" w:lineRule="auto"/>
            </w:pPr>
            <w:r>
              <w:rPr>
                <w:sz w:val="14"/>
              </w:rPr>
              <w:t>Demande document client</w:t>
            </w:r>
          </w:p>
        </w:tc>
        <w:tc>
          <w:tcPr>
            <w:tcW w:type="dxa" w:w="1584"/>
            <w:tcMar>
              <w:top w:w="38" w:type="dxa"/>
              <w:start w:w="50" w:type="dxa"/>
              <w:bottom w:w="38" w:type="dxa"/>
              <w:end w:w="50" w:type="dxa"/>
            </w:tcMar>
            <w:vAlign w:val="top"/>
          </w:tcPr>
          <w:p>
            <w:pPr>
              <w:spacing w:after="0" w:before="0" w:line="240" w:lineRule="auto"/>
            </w:pPr>
            <w:r>
              <w:rPr>
                <w:sz w:val="14"/>
              </w:rPr>
              <w:t>Non</w:t>
            </w:r>
          </w:p>
        </w:tc>
        <w:tc>
          <w:tcPr>
            <w:tcW w:type="dxa" w:w="1584"/>
            <w:tcMar>
              <w:top w:w="38" w:type="dxa"/>
              <w:start w:w="50" w:type="dxa"/>
              <w:bottom w:w="38" w:type="dxa"/>
              <w:end w:w="50" w:type="dxa"/>
            </w:tcMar>
            <w:vAlign w:val="top"/>
          </w:tcPr>
          <w:p>
            <w:pPr>
              <w:spacing w:after="0" w:before="0" w:line="240" w:lineRule="auto"/>
            </w:pPr>
            <w:r>
              <w:rPr>
                <w:sz w:val="14"/>
              </w:rPr>
              <w:t>Non</w:t>
            </w:r>
          </w:p>
        </w:tc>
        <w:tc>
          <w:tcPr>
            <w:tcW w:type="dxa" w:w="1800"/>
            <w:tcMar>
              <w:top w:w="38" w:type="dxa"/>
              <w:start w:w="50" w:type="dxa"/>
              <w:bottom w:w="38" w:type="dxa"/>
              <w:end w:w="50" w:type="dxa"/>
            </w:tcMar>
            <w:vAlign w:val="top"/>
          </w:tcPr>
          <w:p>
            <w:pPr>
              <w:spacing w:after="0" w:before="0" w:line="240" w:lineRule="auto"/>
            </w:pPr>
            <w:r>
              <w:rPr>
                <w:sz w:val="14"/>
              </w:rPr>
              <w:t>Oui</w:t>
            </w:r>
          </w:p>
        </w:tc>
        <w:tc>
          <w:tcPr>
            <w:tcW w:type="dxa" w:w="2088"/>
            <w:tcMar>
              <w:top w:w="38" w:type="dxa"/>
              <w:start w:w="50" w:type="dxa"/>
              <w:bottom w:w="38" w:type="dxa"/>
              <w:end w:w="50" w:type="dxa"/>
            </w:tcMar>
            <w:vAlign w:val="top"/>
          </w:tcPr>
          <w:p>
            <w:pPr>
              <w:spacing w:after="0" w:before="0" w:line="240" w:lineRule="auto"/>
            </w:pPr>
            <w:r>
              <w:rPr>
                <w:sz w:val="14"/>
              </w:rPr>
              <w:t>Oui</w:t>
            </w:r>
          </w:p>
        </w:tc>
      </w:tr>
      <w:tr>
        <w:trPr>
          <w:cantSplit/>
        </w:trPr>
        <w:tc>
          <w:tcPr>
            <w:tcW w:type="dxa" w:w="2520"/>
            <w:tcMar>
              <w:top w:w="38" w:type="dxa"/>
              <w:start w:w="50" w:type="dxa"/>
              <w:bottom w:w="38" w:type="dxa"/>
              <w:end w:w="50" w:type="dxa"/>
            </w:tcMar>
            <w:vAlign w:val="top"/>
            <w:shd w:fill="FAFAFA"/>
          </w:tcPr>
          <w:p>
            <w:pPr>
              <w:spacing w:after="0" w:before="0" w:line="240" w:lineRule="auto"/>
            </w:pPr>
            <w:r>
              <w:rPr>
                <w:sz w:val="14"/>
              </w:rPr>
              <w:t>KYC détaillé</w:t>
            </w:r>
          </w:p>
        </w:tc>
        <w:tc>
          <w:tcPr>
            <w:tcW w:type="dxa" w:w="1584"/>
            <w:tcMar>
              <w:top w:w="38" w:type="dxa"/>
              <w:start w:w="50" w:type="dxa"/>
              <w:bottom w:w="38" w:type="dxa"/>
              <w:end w:w="50" w:type="dxa"/>
            </w:tcMar>
            <w:vAlign w:val="top"/>
            <w:shd w:fill="FAFAFA"/>
          </w:tcPr>
          <w:p>
            <w:pPr>
              <w:spacing w:after="0" w:before="0" w:line="240" w:lineRule="auto"/>
            </w:pPr>
            <w:r>
              <w:rPr>
                <w:sz w:val="14"/>
              </w:rPr>
              <w:t>Selon Globex</w:t>
            </w:r>
          </w:p>
        </w:tc>
        <w:tc>
          <w:tcPr>
            <w:tcW w:type="dxa" w:w="1584"/>
            <w:tcMar>
              <w:top w:w="38" w:type="dxa"/>
              <w:start w:w="50" w:type="dxa"/>
              <w:bottom w:w="38" w:type="dxa"/>
              <w:end w:w="50" w:type="dxa"/>
            </w:tcMar>
            <w:vAlign w:val="top"/>
            <w:shd w:fill="FAFAFA"/>
          </w:tcPr>
          <w:p>
            <w:pPr>
              <w:spacing w:after="0" w:before="0" w:line="240" w:lineRule="auto"/>
            </w:pPr>
            <w:r>
              <w:rPr>
                <w:sz w:val="14"/>
              </w:rPr>
              <w:t>Non</w:t>
            </w:r>
          </w:p>
        </w:tc>
        <w:tc>
          <w:tcPr>
            <w:tcW w:type="dxa" w:w="1800"/>
            <w:tcMar>
              <w:top w:w="38" w:type="dxa"/>
              <w:start w:w="50" w:type="dxa"/>
              <w:bottom w:w="38" w:type="dxa"/>
              <w:end w:w="50" w:type="dxa"/>
            </w:tcMar>
            <w:vAlign w:val="top"/>
            <w:shd w:fill="FAFAFA"/>
          </w:tcPr>
          <w:p>
            <w:pPr>
              <w:spacing w:after="0" w:before="0" w:line="240" w:lineRule="auto"/>
            </w:pPr>
            <w:r>
              <w:rPr>
                <w:sz w:val="14"/>
              </w:rPr>
              <w:t>Statut seulement recommandé</w:t>
            </w:r>
          </w:p>
        </w:tc>
        <w:tc>
          <w:tcPr>
            <w:tcW w:type="dxa" w:w="2088"/>
            <w:tcMar>
              <w:top w:w="38" w:type="dxa"/>
              <w:start w:w="50" w:type="dxa"/>
              <w:bottom w:w="38" w:type="dxa"/>
              <w:end w:w="50" w:type="dxa"/>
            </w:tcMar>
            <w:vAlign w:val="top"/>
            <w:shd w:fill="FAFAFA"/>
          </w:tcPr>
          <w:p>
            <w:pPr>
              <w:spacing w:after="0" w:before="0" w:line="240" w:lineRule="auto"/>
            </w:pPr>
            <w:r>
              <w:rPr>
                <w:sz w:val="14"/>
              </w:rPr>
              <w:t>Selon responsabilité</w:t>
            </w:r>
          </w:p>
        </w:tc>
      </w:tr>
      <w:tr>
        <w:trPr>
          <w:cantSplit/>
        </w:trPr>
        <w:tc>
          <w:tcPr>
            <w:tcW w:type="dxa" w:w="2520"/>
            <w:tcMar>
              <w:top w:w="38" w:type="dxa"/>
              <w:start w:w="50" w:type="dxa"/>
              <w:bottom w:w="38" w:type="dxa"/>
              <w:end w:w="50" w:type="dxa"/>
            </w:tcMar>
            <w:vAlign w:val="top"/>
          </w:tcPr>
          <w:p>
            <w:pPr>
              <w:spacing w:after="0" w:before="0" w:line="240" w:lineRule="auto"/>
            </w:pPr>
            <w:r>
              <w:rPr>
                <w:sz w:val="14"/>
              </w:rPr>
              <w:t>Exécuter paiement</w:t>
            </w:r>
          </w:p>
        </w:tc>
        <w:tc>
          <w:tcPr>
            <w:tcW w:type="dxa" w:w="1584"/>
            <w:tcMar>
              <w:top w:w="38" w:type="dxa"/>
              <w:start w:w="50" w:type="dxa"/>
              <w:bottom w:w="38" w:type="dxa"/>
              <w:end w:w="50" w:type="dxa"/>
            </w:tcMar>
            <w:vAlign w:val="top"/>
          </w:tcPr>
          <w:p>
            <w:pPr>
              <w:spacing w:after="0" w:before="0" w:line="240" w:lineRule="auto"/>
            </w:pPr>
            <w:r>
              <w:rPr>
                <w:sz w:val="14"/>
              </w:rPr>
              <w:t>Non</w:t>
            </w:r>
          </w:p>
        </w:tc>
        <w:tc>
          <w:tcPr>
            <w:tcW w:type="dxa" w:w="1584"/>
            <w:tcMar>
              <w:top w:w="38" w:type="dxa"/>
              <w:start w:w="50" w:type="dxa"/>
              <w:bottom w:w="38" w:type="dxa"/>
              <w:end w:w="50" w:type="dxa"/>
            </w:tcMar>
            <w:vAlign w:val="top"/>
          </w:tcPr>
          <w:p>
            <w:pPr>
              <w:spacing w:after="0" w:before="0" w:line="240" w:lineRule="auto"/>
            </w:pPr>
            <w:r>
              <w:rPr>
                <w:sz w:val="14"/>
              </w:rPr>
              <w:t>Non</w:t>
            </w:r>
          </w:p>
        </w:tc>
        <w:tc>
          <w:tcPr>
            <w:tcW w:type="dxa" w:w="1800"/>
            <w:tcMar>
              <w:top w:w="38" w:type="dxa"/>
              <w:start w:w="50" w:type="dxa"/>
              <w:bottom w:w="38" w:type="dxa"/>
              <w:end w:w="50" w:type="dxa"/>
            </w:tcMar>
            <w:vAlign w:val="top"/>
          </w:tcPr>
          <w:p>
            <w:pPr>
              <w:spacing w:after="0" w:before="0" w:line="240" w:lineRule="auto"/>
            </w:pPr>
            <w:r>
              <w:rPr>
                <w:sz w:val="14"/>
              </w:rPr>
              <w:t>Non</w:t>
            </w:r>
          </w:p>
        </w:tc>
        <w:tc>
          <w:tcPr>
            <w:tcW w:type="dxa" w:w="2088"/>
            <w:tcMar>
              <w:top w:w="38" w:type="dxa"/>
              <w:start w:w="50" w:type="dxa"/>
              <w:bottom w:w="38" w:type="dxa"/>
              <w:end w:w="50" w:type="dxa"/>
            </w:tcMar>
            <w:vAlign w:val="top"/>
          </w:tcPr>
          <w:p>
            <w:pPr>
              <w:spacing w:after="0" w:before="0" w:line="240" w:lineRule="auto"/>
            </w:pPr>
            <w:r>
              <w:rPr>
                <w:sz w:val="14"/>
              </w:rPr>
              <w:t>Globex</w:t>
            </w:r>
          </w:p>
        </w:tc>
      </w:tr>
      <w:tr>
        <w:trPr>
          <w:cantSplit/>
        </w:trPr>
        <w:tc>
          <w:tcPr>
            <w:tcW w:type="dxa" w:w="2520"/>
            <w:tcMar>
              <w:top w:w="38" w:type="dxa"/>
              <w:start w:w="50" w:type="dxa"/>
              <w:bottom w:w="38" w:type="dxa"/>
              <w:end w:w="50" w:type="dxa"/>
            </w:tcMar>
            <w:vAlign w:val="top"/>
            <w:shd w:fill="FAFAFA"/>
          </w:tcPr>
          <w:p>
            <w:pPr>
              <w:spacing w:after="0" w:before="0" w:line="240" w:lineRule="auto"/>
            </w:pPr>
            <w:r>
              <w:rPr>
                <w:sz w:val="14"/>
              </w:rPr>
              <w:t>Modifier KPI</w:t>
            </w:r>
          </w:p>
        </w:tc>
        <w:tc>
          <w:tcPr>
            <w:tcW w:type="dxa" w:w="1584"/>
            <w:tcMar>
              <w:top w:w="38" w:type="dxa"/>
              <w:start w:w="50" w:type="dxa"/>
              <w:bottom w:w="38" w:type="dxa"/>
              <w:end w:w="50" w:type="dxa"/>
            </w:tcMar>
            <w:vAlign w:val="top"/>
            <w:shd w:fill="FAFAFA"/>
          </w:tcPr>
          <w:p>
            <w:pPr>
              <w:spacing w:after="0" w:before="0" w:line="240" w:lineRule="auto"/>
            </w:pPr>
            <w:r>
              <w:rPr>
                <w:sz w:val="14"/>
              </w:rPr>
              <w:t>Non</w:t>
            </w:r>
          </w:p>
        </w:tc>
        <w:tc>
          <w:tcPr>
            <w:tcW w:type="dxa" w:w="1584"/>
            <w:tcMar>
              <w:top w:w="38" w:type="dxa"/>
              <w:start w:w="50" w:type="dxa"/>
              <w:bottom w:w="38" w:type="dxa"/>
              <w:end w:w="50" w:type="dxa"/>
            </w:tcMar>
            <w:vAlign w:val="top"/>
            <w:shd w:fill="FAFAFA"/>
          </w:tcPr>
          <w:p>
            <w:pPr>
              <w:spacing w:after="0" w:before="0" w:line="240" w:lineRule="auto"/>
            </w:pPr>
            <w:r>
              <w:rPr>
                <w:sz w:val="14"/>
              </w:rPr>
              <w:t>Non</w:t>
            </w:r>
          </w:p>
        </w:tc>
        <w:tc>
          <w:tcPr>
            <w:tcW w:type="dxa" w:w="1800"/>
            <w:tcMar>
              <w:top w:w="38" w:type="dxa"/>
              <w:start w:w="50" w:type="dxa"/>
              <w:bottom w:w="38" w:type="dxa"/>
              <w:end w:w="50" w:type="dxa"/>
            </w:tcMar>
            <w:vAlign w:val="top"/>
            <w:shd w:fill="FAFAFA"/>
          </w:tcPr>
          <w:p>
            <w:pPr>
              <w:spacing w:after="0" w:before="0" w:line="240" w:lineRule="auto"/>
            </w:pPr>
            <w:r>
              <w:rPr>
                <w:sz w:val="14"/>
              </w:rPr>
              <w:t>Admin autorisé</w:t>
            </w:r>
          </w:p>
        </w:tc>
        <w:tc>
          <w:tcPr>
            <w:tcW w:type="dxa" w:w="2088"/>
            <w:tcMar>
              <w:top w:w="38" w:type="dxa"/>
              <w:start w:w="50" w:type="dxa"/>
              <w:bottom w:w="38" w:type="dxa"/>
              <w:end w:w="50" w:type="dxa"/>
            </w:tcMar>
            <w:vAlign w:val="top"/>
            <w:shd w:fill="FAFAFA"/>
          </w:tcPr>
          <w:p>
            <w:pPr>
              <w:spacing w:after="0" w:before="0" w:line="240" w:lineRule="auto"/>
            </w:pPr>
            <w:r>
              <w:rPr>
                <w:sz w:val="14"/>
              </w:rPr>
              <w:t>Non</w:t>
            </w:r>
          </w:p>
        </w:tc>
      </w:tr>
      <w:tr>
        <w:trPr>
          <w:cantSplit/>
        </w:trPr>
        <w:tc>
          <w:tcPr>
            <w:tcW w:type="dxa" w:w="2520"/>
            <w:tcMar>
              <w:top w:w="38" w:type="dxa"/>
              <w:start w:w="50" w:type="dxa"/>
              <w:bottom w:w="38" w:type="dxa"/>
              <w:end w:w="50" w:type="dxa"/>
            </w:tcMar>
            <w:vAlign w:val="top"/>
          </w:tcPr>
          <w:p>
            <w:pPr>
              <w:spacing w:after="0" w:before="0" w:line="240" w:lineRule="auto"/>
            </w:pPr>
            <w:r>
              <w:rPr>
                <w:sz w:val="14"/>
              </w:rPr>
              <w:t>Voir revenue share</w:t>
            </w:r>
          </w:p>
        </w:tc>
        <w:tc>
          <w:tcPr>
            <w:tcW w:type="dxa" w:w="1584"/>
            <w:tcMar>
              <w:top w:w="38" w:type="dxa"/>
              <w:start w:w="50" w:type="dxa"/>
              <w:bottom w:w="38" w:type="dxa"/>
              <w:end w:w="50" w:type="dxa"/>
            </w:tcMar>
            <w:vAlign w:val="top"/>
          </w:tcPr>
          <w:p>
            <w:pPr>
              <w:spacing w:after="0" w:before="0" w:line="240" w:lineRule="auto"/>
            </w:pPr>
            <w:r>
              <w:rPr>
                <w:sz w:val="14"/>
              </w:rPr>
              <w:t>Non</w:t>
            </w:r>
          </w:p>
        </w:tc>
        <w:tc>
          <w:tcPr>
            <w:tcW w:type="dxa" w:w="1584"/>
            <w:tcMar>
              <w:top w:w="38" w:type="dxa"/>
              <w:start w:w="50" w:type="dxa"/>
              <w:bottom w:w="38" w:type="dxa"/>
              <w:end w:w="50" w:type="dxa"/>
            </w:tcMar>
            <w:vAlign w:val="top"/>
          </w:tcPr>
          <w:p>
            <w:pPr>
              <w:spacing w:after="0" w:before="0" w:line="240" w:lineRule="auto"/>
            </w:pPr>
            <w:r>
              <w:rPr>
                <w:sz w:val="14"/>
              </w:rPr>
              <w:t>Non</w:t>
            </w:r>
          </w:p>
        </w:tc>
        <w:tc>
          <w:tcPr>
            <w:tcW w:type="dxa" w:w="1800"/>
            <w:tcMar>
              <w:top w:w="38" w:type="dxa"/>
              <w:start w:w="50" w:type="dxa"/>
              <w:bottom w:w="38" w:type="dxa"/>
              <w:end w:w="50" w:type="dxa"/>
            </w:tcMar>
            <w:vAlign w:val="top"/>
          </w:tcPr>
          <w:p>
            <w:pPr>
              <w:spacing w:after="0" w:before="0" w:line="240" w:lineRule="auto"/>
            </w:pPr>
            <w:r>
              <w:rPr>
                <w:sz w:val="14"/>
              </w:rPr>
              <w:t>Finance/admin</w:t>
            </w:r>
          </w:p>
        </w:tc>
        <w:tc>
          <w:tcPr>
            <w:tcW w:type="dxa" w:w="2088"/>
            <w:tcMar>
              <w:top w:w="38" w:type="dxa"/>
              <w:start w:w="50" w:type="dxa"/>
              <w:bottom w:w="38" w:type="dxa"/>
              <w:end w:w="50" w:type="dxa"/>
            </w:tcMar>
            <w:vAlign w:val="top"/>
          </w:tcPr>
          <w:p>
            <w:pPr>
              <w:spacing w:after="0" w:before="0" w:line="240" w:lineRule="auto"/>
            </w:pPr>
            <w:r>
              <w:rPr>
                <w:sz w:val="14"/>
              </w:rPr>
              <w:t>Sa relation uniquement</w:t>
            </w:r>
          </w:p>
        </w:tc>
      </w:tr>
    </w:tbl>
    <w:p>
      <w:pPr>
        <w:spacing w:after="0" w:before="0"/>
      </w:pPr>
    </w:p>
    <w:p>
      <w:pPr>
        <w:pStyle w:val="Heading2"/>
        <w:keepNext/>
        <w:keepNext/>
      </w:pPr>
      <w:r>
        <w:t>Audit obligatoire</w:t>
      </w:r>
    </w:p>
    <w:p>
      <w:pPr>
        <w:pStyle w:val="ListBullet"/>
        <w:spacing w:after="44"/>
      </w:pPr>
      <w:r>
        <w:t>Qui a demandé, consulté, téléversé, modifié ou validé un document.</w:t>
      </w:r>
    </w:p>
    <w:p>
      <w:pPr>
        <w:pStyle w:val="ListBullet"/>
        <w:spacing w:after="44"/>
      </w:pPr>
      <w:r>
        <w:t>Qui a changé un KPI, un classement, un statut ou une recommandation.</w:t>
      </w:r>
    </w:p>
    <w:p>
      <w:pPr>
        <w:pStyle w:val="ListBullet"/>
        <w:spacing w:after="44"/>
      </w:pPr>
      <w:r>
        <w:t>Quelle version d’une offre, d’un contrat ou d’un profil KPI a été utilisée.</w:t>
      </w:r>
    </w:p>
    <w:p>
      <w:pPr>
        <w:pStyle w:val="ListBullet"/>
        <w:spacing w:after="44"/>
      </w:pPr>
      <w:r>
        <w:t>Quand le client a validé le besoin, choisi le fournisseur et accepté les conditions.</w:t>
      </w:r>
    </w:p>
    <w:p>
      <w:pPr>
        <w:pStyle w:val="ListBullet"/>
        <w:spacing w:after="44"/>
      </w:pPr>
      <w:r>
        <w:t>Événements partenaires reçus et référence sécurisée du payload.</w:t>
      </w:r>
    </w:p>
    <w:p>
      <w:pPr>
        <w:pStyle w:val="Heading1"/>
        <w:keepNext/>
        <w:keepNext/>
      </w:pPr>
      <w:r>
        <w:t>8. Revenus et architecture financière</w:t>
      </w:r>
    </w:p>
    <w:p>
      <w:pPr>
        <w:pStyle w:val="SectionSubtitle"/>
        <w:keepNext/>
      </w:pPr>
      <w:r>
        <w:t>Le client effectue un seul financement de transaction. Globex traite le règlement et répartit les montants dus au fournisseur et à OSI; le revenue share Globex demeure un revenu partenaire distinct.</w:t>
      </w:r>
    </w:p>
    <w:p>
      <w:pPr>
        <w:spacing w:after="60" w:before="40"/>
        <w:jc w:val="center"/>
      </w:pPr>
      <w:r>
        <w:drawing>
          <wp:inline xmlns:a="http://schemas.openxmlformats.org/drawingml/2006/main" xmlns:pic="http://schemas.openxmlformats.org/drawingml/2006/picture">
            <wp:extent cx="6199632" cy="3520778"/>
            <wp:docPr id="3" name="Picture 3"/>
            <wp:cNvGraphicFramePr>
              <a:graphicFrameLocks noChangeAspect="1"/>
            </wp:cNvGraphicFramePr>
            <a:graphic>
              <a:graphicData uri="http://schemas.openxmlformats.org/drawingml/2006/picture">
                <pic:pic>
                  <pic:nvPicPr>
                    <pic:cNvPr id="0" name="osi_finance_v5.png"/>
                    <pic:cNvPicPr/>
                  </pic:nvPicPr>
                  <pic:blipFill>
                    <a:blip r:embed="rId13"/>
                    <a:stretch>
                      <a:fillRect/>
                    </a:stretch>
                  </pic:blipFill>
                  <pic:spPr>
                    <a:xfrm>
                      <a:off x="0" y="0"/>
                      <a:ext cx="6199632" cy="352077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2664"/>
            <w:shd w:fill="111111"/>
            <w:tcMar>
              <w:top w:w="38" w:type="dxa"/>
              <w:start w:w="50" w:type="dxa"/>
              <w:bottom w:w="38" w:type="dxa"/>
              <w:end w:w="50" w:type="dxa"/>
            </w:tcMar>
          </w:tcPr>
          <w:p>
            <w:pPr>
              <w:spacing w:after="0" w:before="0" w:line="240" w:lineRule="auto"/>
            </w:pPr>
            <w:r>
              <w:rPr>
                <w:b/>
                <w:color w:val="FFFFFF"/>
                <w:sz w:val="15"/>
              </w:rPr>
              <w:t>Flux</w:t>
            </w:r>
          </w:p>
        </w:tc>
        <w:tc>
          <w:tcPr>
            <w:tcW w:type="dxa" w:w="1800"/>
            <w:shd w:fill="111111"/>
            <w:tcMar>
              <w:top w:w="38" w:type="dxa"/>
              <w:start w:w="50" w:type="dxa"/>
              <w:bottom w:w="38" w:type="dxa"/>
              <w:end w:w="50" w:type="dxa"/>
            </w:tcMar>
          </w:tcPr>
          <w:p>
            <w:pPr>
              <w:spacing w:after="0" w:before="0" w:line="240" w:lineRule="auto"/>
            </w:pPr>
            <w:r>
              <w:rPr>
                <w:b/>
                <w:color w:val="FFFFFF"/>
                <w:sz w:val="15"/>
              </w:rPr>
              <w:t>Payeur</w:t>
            </w:r>
          </w:p>
        </w:tc>
        <w:tc>
          <w:tcPr>
            <w:tcW w:type="dxa" w:w="2304"/>
            <w:shd w:fill="111111"/>
            <w:tcMar>
              <w:top w:w="38" w:type="dxa"/>
              <w:start w:w="50" w:type="dxa"/>
              <w:bottom w:w="38" w:type="dxa"/>
              <w:end w:w="50" w:type="dxa"/>
            </w:tcMar>
          </w:tcPr>
          <w:p>
            <w:pPr>
              <w:spacing w:after="0" w:before="0" w:line="240" w:lineRule="auto"/>
            </w:pPr>
            <w:r>
              <w:rPr>
                <w:b/>
                <w:color w:val="FFFFFF"/>
                <w:sz w:val="15"/>
              </w:rPr>
              <w:t>Bénéficiaire</w:t>
            </w:r>
          </w:p>
        </w:tc>
        <w:tc>
          <w:tcPr>
            <w:tcW w:type="dxa" w:w="2880"/>
            <w:shd w:fill="111111"/>
            <w:tcMar>
              <w:top w:w="38" w:type="dxa"/>
              <w:start w:w="50" w:type="dxa"/>
              <w:bottom w:w="38" w:type="dxa"/>
              <w:end w:w="50" w:type="dxa"/>
            </w:tcMar>
          </w:tcPr>
          <w:p>
            <w:pPr>
              <w:spacing w:after="0" w:before="0" w:line="240" w:lineRule="auto"/>
            </w:pPr>
            <w:r>
              <w:rPr>
                <w:b/>
                <w:color w:val="FFFFFF"/>
                <w:sz w:val="15"/>
              </w:rPr>
              <w:t>Décision actuelle</w:t>
            </w:r>
          </w:p>
        </w:tc>
      </w:tr>
      <w:tr>
        <w:trPr>
          <w:cantSplit/>
        </w:trPr>
        <w:tc>
          <w:tcPr>
            <w:tcW w:type="dxa" w:w="2664"/>
            <w:tcMar>
              <w:top w:w="38" w:type="dxa"/>
              <w:start w:w="50" w:type="dxa"/>
              <w:bottom w:w="38" w:type="dxa"/>
              <w:end w:w="50" w:type="dxa"/>
            </w:tcMar>
            <w:vAlign w:val="top"/>
          </w:tcPr>
          <w:p>
            <w:pPr>
              <w:spacing w:after="0" w:before="0" w:line="240" w:lineRule="auto"/>
            </w:pPr>
            <w:r>
              <w:rPr>
                <w:sz w:val="15"/>
              </w:rPr>
              <w:t>Transaction commerciale</w:t>
            </w:r>
          </w:p>
        </w:tc>
        <w:tc>
          <w:tcPr>
            <w:tcW w:type="dxa" w:w="1800"/>
            <w:tcMar>
              <w:top w:w="38" w:type="dxa"/>
              <w:start w:w="50" w:type="dxa"/>
              <w:bottom w:w="38" w:type="dxa"/>
              <w:end w:w="50" w:type="dxa"/>
            </w:tcMar>
            <w:vAlign w:val="top"/>
          </w:tcPr>
          <w:p>
            <w:pPr>
              <w:spacing w:after="0" w:before="0" w:line="240" w:lineRule="auto"/>
            </w:pPr>
            <w:r>
              <w:rPr>
                <w:sz w:val="15"/>
              </w:rPr>
              <w:t>Client</w:t>
            </w:r>
          </w:p>
        </w:tc>
        <w:tc>
          <w:tcPr>
            <w:tcW w:type="dxa" w:w="2304"/>
            <w:tcMar>
              <w:top w:w="38" w:type="dxa"/>
              <w:start w:w="50" w:type="dxa"/>
              <w:bottom w:w="38" w:type="dxa"/>
              <w:end w:w="50" w:type="dxa"/>
            </w:tcMar>
            <w:vAlign w:val="top"/>
          </w:tcPr>
          <w:p>
            <w:pPr>
              <w:spacing w:after="0" w:before="0" w:line="240" w:lineRule="auto"/>
            </w:pPr>
            <w:r>
              <w:rPr>
                <w:sz w:val="15"/>
              </w:rPr>
              <w:t>Globex -&gt; Fournisseur</w:t>
            </w:r>
          </w:p>
        </w:tc>
        <w:tc>
          <w:tcPr>
            <w:tcW w:type="dxa" w:w="2880"/>
            <w:tcMar>
              <w:top w:w="38" w:type="dxa"/>
              <w:start w:w="50" w:type="dxa"/>
              <w:bottom w:w="38" w:type="dxa"/>
              <w:end w:w="50" w:type="dxa"/>
            </w:tcMar>
            <w:vAlign w:val="top"/>
          </w:tcPr>
          <w:p>
            <w:pPr>
              <w:spacing w:after="0" w:before="0" w:line="240" w:lineRule="auto"/>
            </w:pPr>
            <w:r>
              <w:rPr>
                <w:sz w:val="15"/>
              </w:rPr>
              <w:t>Globex reçoit/exécute le règlement commercial; OSI ne détient pas les fonds du fournisseur.</w:t>
            </w:r>
          </w:p>
        </w:tc>
      </w:tr>
      <w:tr>
        <w:trPr>
          <w:cantSplit/>
        </w:trPr>
        <w:tc>
          <w:tcPr>
            <w:tcW w:type="dxa" w:w="2664"/>
            <w:tcMar>
              <w:top w:w="38" w:type="dxa"/>
              <w:start w:w="50" w:type="dxa"/>
              <w:bottom w:w="38" w:type="dxa"/>
              <w:end w:w="50" w:type="dxa"/>
            </w:tcMar>
            <w:vAlign w:val="top"/>
            <w:shd w:fill="FAFAFA"/>
          </w:tcPr>
          <w:p>
            <w:pPr>
              <w:spacing w:after="0" w:before="0" w:line="240" w:lineRule="auto"/>
            </w:pPr>
            <w:r>
              <w:rPr>
                <w:sz w:val="15"/>
              </w:rPr>
              <w:t>Honoraires de service OSI</w:t>
            </w:r>
          </w:p>
        </w:tc>
        <w:tc>
          <w:tcPr>
            <w:tcW w:type="dxa" w:w="1800"/>
            <w:tcMar>
              <w:top w:w="38" w:type="dxa"/>
              <w:start w:w="50" w:type="dxa"/>
              <w:bottom w:w="38" w:type="dxa"/>
              <w:end w:w="50" w:type="dxa"/>
            </w:tcMar>
            <w:vAlign w:val="top"/>
            <w:shd w:fill="FAFAFA"/>
          </w:tcPr>
          <w:p>
            <w:pPr>
              <w:spacing w:after="0" w:before="0" w:line="240" w:lineRule="auto"/>
            </w:pPr>
            <w:r>
              <w:rPr>
                <w:sz w:val="15"/>
              </w:rPr>
              <w:t>Client</w:t>
            </w:r>
          </w:p>
        </w:tc>
        <w:tc>
          <w:tcPr>
            <w:tcW w:type="dxa" w:w="2304"/>
            <w:tcMar>
              <w:top w:w="38" w:type="dxa"/>
              <w:start w:w="50" w:type="dxa"/>
              <w:bottom w:w="38" w:type="dxa"/>
              <w:end w:w="50" w:type="dxa"/>
            </w:tcMar>
            <w:vAlign w:val="top"/>
            <w:shd w:fill="FAFAFA"/>
          </w:tcPr>
          <w:p>
            <w:pPr>
              <w:spacing w:after="0" w:before="0" w:line="240" w:lineRule="auto"/>
            </w:pPr>
            <w:r>
              <w:rPr>
                <w:sz w:val="15"/>
              </w:rPr>
              <w:t>Globex -&gt; OSI</w:t>
            </w:r>
          </w:p>
        </w:tc>
        <w:tc>
          <w:tcPr>
            <w:tcW w:type="dxa" w:w="2880"/>
            <w:tcMar>
              <w:top w:w="38" w:type="dxa"/>
              <w:start w:w="50" w:type="dxa"/>
              <w:bottom w:w="38" w:type="dxa"/>
              <w:end w:w="50" w:type="dxa"/>
            </w:tcMar>
            <w:vAlign w:val="top"/>
            <w:shd w:fill="FAFAFA"/>
          </w:tcPr>
          <w:p>
            <w:pPr>
              <w:spacing w:after="0" w:before="0" w:line="240" w:lineRule="auto"/>
            </w:pPr>
            <w:r>
              <w:rPr>
                <w:sz w:val="15"/>
              </w:rPr>
              <w:t>Facturés au client, mais prélevés et versés à OSI à même la transaction; aucun paiement séparé du client.</w:t>
            </w:r>
          </w:p>
        </w:tc>
      </w:tr>
      <w:tr>
        <w:trPr>
          <w:cantSplit/>
        </w:trPr>
        <w:tc>
          <w:tcPr>
            <w:tcW w:type="dxa" w:w="2664"/>
            <w:tcMar>
              <w:top w:w="38" w:type="dxa"/>
              <w:start w:w="50" w:type="dxa"/>
              <w:bottom w:w="38" w:type="dxa"/>
              <w:end w:w="50" w:type="dxa"/>
            </w:tcMar>
            <w:vAlign w:val="top"/>
          </w:tcPr>
          <w:p>
            <w:pPr>
              <w:spacing w:after="0" w:before="0" w:line="240" w:lineRule="auto"/>
            </w:pPr>
            <w:r>
              <w:rPr>
                <w:sz w:val="15"/>
              </w:rPr>
              <w:t>Revenue share partenaire</w:t>
            </w:r>
          </w:p>
        </w:tc>
        <w:tc>
          <w:tcPr>
            <w:tcW w:type="dxa" w:w="1800"/>
            <w:tcMar>
              <w:top w:w="38" w:type="dxa"/>
              <w:start w:w="50" w:type="dxa"/>
              <w:bottom w:w="38" w:type="dxa"/>
              <w:end w:w="50" w:type="dxa"/>
            </w:tcMar>
            <w:vAlign w:val="top"/>
          </w:tcPr>
          <w:p>
            <w:pPr>
              <w:spacing w:after="0" w:before="0" w:line="240" w:lineRule="auto"/>
            </w:pPr>
            <w:r>
              <w:rPr>
                <w:sz w:val="15"/>
              </w:rPr>
              <w:t>Globex</w:t>
            </w:r>
          </w:p>
        </w:tc>
        <w:tc>
          <w:tcPr>
            <w:tcW w:type="dxa" w:w="2304"/>
            <w:tcMar>
              <w:top w:w="38" w:type="dxa"/>
              <w:start w:w="50" w:type="dxa"/>
              <w:bottom w:w="38" w:type="dxa"/>
              <w:end w:w="50" w:type="dxa"/>
            </w:tcMar>
            <w:vAlign w:val="top"/>
          </w:tcPr>
          <w:p>
            <w:pPr>
              <w:spacing w:after="0" w:before="0" w:line="240" w:lineRule="auto"/>
            </w:pPr>
            <w:r>
              <w:rPr>
                <w:sz w:val="15"/>
              </w:rPr>
              <w:t>OSI</w:t>
            </w:r>
          </w:p>
        </w:tc>
        <w:tc>
          <w:tcPr>
            <w:tcW w:type="dxa" w:w="2880"/>
            <w:tcMar>
              <w:top w:w="38" w:type="dxa"/>
              <w:start w:w="50" w:type="dxa"/>
              <w:bottom w:w="38" w:type="dxa"/>
              <w:end w:w="50" w:type="dxa"/>
            </w:tcMar>
            <w:vAlign w:val="top"/>
          </w:tcPr>
          <w:p>
            <w:pPr>
              <w:spacing w:after="0" w:before="0" w:line="240" w:lineRule="auto"/>
            </w:pPr>
            <w:r>
              <w:rPr>
                <w:sz w:val="15"/>
              </w:rPr>
              <w:t>Revenu distinct payé par Globex selon l’entente commerciale; taux et assiette restent à négocier.</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EAF2F8"/>
            <w:tcMar>
              <w:top w:w="38" w:type="dxa"/>
              <w:start w:w="50" w:type="dxa"/>
              <w:bottom w:w="38" w:type="dxa"/>
              <w:end w:w="50" w:type="dxa"/>
            </w:tcMar>
            <w:tcBorders>
              <w:left w:val="single" w:sz="18" w:color="2D5F87"/>
            </w:tcBorders>
          </w:tcPr>
          <w:p>
            <w:pPr>
              <w:spacing w:after="0" w:before="0" w:line="240" w:lineRule="auto"/>
            </w:pPr>
            <w:r>
              <w:rPr>
                <w:b/>
                <w:color w:val="2D5F87"/>
                <w:sz w:val="18"/>
              </w:rPr>
              <w:t>RÈGLE TECHNIQUE</w:t>
            </w:r>
          </w:p>
          <w:p>
            <w:pPr>
              <w:spacing w:after="0" w:before="0" w:line="240" w:lineRule="auto"/>
            </w:pPr>
            <w:r>
              <w:t>Le moteur financier doit calculer séparément : montant fournisseur, honoraires OSI, taxes applicables sur les honoraires, total à financer par le client et revenue share partenaire. Les règles doivent rester configurables : frais fixe, pourcentage, seuil, devise, événement déclencheur et partenaire.</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F5EEDB"/>
            <w:tcMar>
              <w:top w:w="38" w:type="dxa"/>
              <w:start w:w="50" w:type="dxa"/>
              <w:bottom w:w="38" w:type="dxa"/>
              <w:end w:w="50" w:type="dxa"/>
            </w:tcMar>
            <w:tcBorders>
              <w:left w:val="single" w:sz="18" w:color="B58B2A"/>
            </w:tcBorders>
          </w:tcPr>
          <w:p>
            <w:pPr>
              <w:spacing w:after="0" w:before="0" w:line="240" w:lineRule="auto"/>
            </w:pPr>
            <w:r>
              <w:rPr>
                <w:b/>
                <w:color w:val="B58B2A"/>
                <w:sz w:val="18"/>
              </w:rPr>
              <w:t>RÈGLE COMPTABLE</w:t>
            </w:r>
          </w:p>
          <w:p>
            <w:pPr>
              <w:spacing w:after="0" w:before="0" w:line="240" w:lineRule="auto"/>
            </w:pPr>
            <w:r>
              <w:t>Une facture OSI au client existe comme pièce justificative, mais son règlement est effectué à même la transaction Globex. La facture ne crée donc pas un deuxième paiement à faire par le client.</w:t>
            </w:r>
          </w:p>
        </w:tc>
      </w:tr>
    </w:tbl>
    <w:p>
      <w:pPr>
        <w:spacing w:after="0" w:before="0"/>
      </w:pPr>
    </w:p>
    <w:p>
      <w:pPr>
        <w:pStyle w:val="Heading1"/>
        <w:keepNext/>
        <w:keepNext/>
      </w:pPr>
      <w:r>
        <w:t>9. Points juridiques à examiner avec Zack</w:t>
      </w:r>
    </w:p>
    <w:p>
      <w:pPr>
        <w:pStyle w:val="SectionSubtitle"/>
      </w:pPr>
      <w:r>
        <w:t>Les questions sont regroupées par enjeu pour éviter de répéter les mêmes responsabilités dans plusieurs sections du document.</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952"/>
            <w:shd w:fill="111111"/>
            <w:tcMar>
              <w:top w:w="22" w:type="dxa"/>
              <w:start w:w="40" w:type="dxa"/>
              <w:bottom w:w="22" w:type="dxa"/>
              <w:end w:w="40" w:type="dxa"/>
            </w:tcMar>
          </w:tcPr>
          <w:p>
            <w:pPr>
              <w:spacing w:after="0" w:before="0" w:line="240" w:lineRule="auto"/>
            </w:pPr>
            <w:r>
              <w:rPr>
                <w:b/>
                <w:color w:val="FFFFFF"/>
                <w:sz w:val="14"/>
              </w:rPr>
              <w:t>Sujet</w:t>
            </w:r>
          </w:p>
        </w:tc>
        <w:tc>
          <w:tcPr>
            <w:tcW w:type="dxa" w:w="6624"/>
            <w:shd w:fill="111111"/>
            <w:tcMar>
              <w:top w:w="22" w:type="dxa"/>
              <w:start w:w="40" w:type="dxa"/>
              <w:bottom w:w="22" w:type="dxa"/>
              <w:end w:w="40" w:type="dxa"/>
            </w:tcMar>
          </w:tcPr>
          <w:p>
            <w:pPr>
              <w:spacing w:after="0" w:before="0" w:line="240" w:lineRule="auto"/>
            </w:pPr>
            <w:r>
              <w:rPr>
                <w:b/>
                <w:color w:val="FFFFFF"/>
                <w:sz w:val="14"/>
              </w:rPr>
              <w:t>Question à trancher</w:t>
            </w:r>
          </w:p>
        </w:tc>
      </w:tr>
      <w:tr>
        <w:trPr>
          <w:cantSplit/>
        </w:trPr>
        <w:tc>
          <w:tcPr>
            <w:tcW w:type="dxa" w:w="2952"/>
            <w:tcMar>
              <w:top w:w="22" w:type="dxa"/>
              <w:start w:w="40" w:type="dxa"/>
              <w:bottom w:w="22" w:type="dxa"/>
              <w:end w:w="40" w:type="dxa"/>
            </w:tcMar>
            <w:vAlign w:val="top"/>
          </w:tcPr>
          <w:p>
            <w:pPr>
              <w:spacing w:after="0" w:before="0" w:line="240" w:lineRule="auto"/>
            </w:pPr>
            <w:r>
              <w:rPr>
                <w:sz w:val="14"/>
              </w:rPr>
              <w:t>Structure contractuelle</w:t>
            </w:r>
          </w:p>
        </w:tc>
        <w:tc>
          <w:tcPr>
            <w:tcW w:type="dxa" w:w="6624"/>
            <w:tcMar>
              <w:top w:w="22" w:type="dxa"/>
              <w:start w:w="40" w:type="dxa"/>
              <w:bottom w:w="22" w:type="dxa"/>
              <w:end w:w="40" w:type="dxa"/>
            </w:tcMar>
            <w:vAlign w:val="top"/>
          </w:tcPr>
          <w:p>
            <w:pPr>
              <w:spacing w:after="0" w:before="0" w:line="240" w:lineRule="auto"/>
            </w:pPr>
            <w:r>
              <w:rPr>
                <w:sz w:val="14"/>
              </w:rPr>
              <w:t>Quelle entité signe avec le client, le fournisseur et les partenaires? Quelle qualification d’OSI dans chaque relation?</w:t>
            </w:r>
          </w:p>
        </w:tc>
      </w:tr>
      <w:tr>
        <w:trPr>
          <w:cantSplit/>
        </w:trPr>
        <w:tc>
          <w:tcPr>
            <w:tcW w:type="dxa" w:w="2952"/>
            <w:tcMar>
              <w:top w:w="22" w:type="dxa"/>
              <w:start w:w="40" w:type="dxa"/>
              <w:bottom w:w="22" w:type="dxa"/>
              <w:end w:w="40" w:type="dxa"/>
            </w:tcMar>
            <w:vAlign w:val="top"/>
            <w:shd w:fill="FAFAFA"/>
          </w:tcPr>
          <w:p>
            <w:pPr>
              <w:spacing w:after="0" w:before="0" w:line="240" w:lineRule="auto"/>
            </w:pPr>
            <w:r>
              <w:rPr>
                <w:sz w:val="14"/>
              </w:rPr>
              <w:t>Paiements / services monétaires</w:t>
            </w:r>
          </w:p>
        </w:tc>
        <w:tc>
          <w:tcPr>
            <w:tcW w:type="dxa" w:w="6624"/>
            <w:tcMar>
              <w:top w:w="22" w:type="dxa"/>
              <w:start w:w="40" w:type="dxa"/>
              <w:bottom w:w="22" w:type="dxa"/>
              <w:end w:w="40" w:type="dxa"/>
            </w:tcMar>
            <w:vAlign w:val="top"/>
            <w:shd w:fill="FAFAFA"/>
          </w:tcPr>
          <w:p>
            <w:pPr>
              <w:spacing w:after="0" w:before="0" w:line="240" w:lineRule="auto"/>
            </w:pPr>
            <w:r>
              <w:rPr>
                <w:sz w:val="14"/>
              </w:rPr>
              <w:t>Globex peut-il recevoir le montant global de la transaction, payer le fournisseur et verser directement les honoraires OSI sans qu’OSI soit considérée comme détenant ou transmettant les fonds commerciaux?</w:t>
            </w:r>
          </w:p>
        </w:tc>
      </w:tr>
      <w:tr>
        <w:trPr>
          <w:cantSplit/>
        </w:trPr>
        <w:tc>
          <w:tcPr>
            <w:tcW w:type="dxa" w:w="2952"/>
            <w:tcMar>
              <w:top w:w="22" w:type="dxa"/>
              <w:start w:w="40" w:type="dxa"/>
              <w:bottom w:w="22" w:type="dxa"/>
              <w:end w:w="40" w:type="dxa"/>
            </w:tcMar>
            <w:vAlign w:val="top"/>
          </w:tcPr>
          <w:p>
            <w:pPr>
              <w:spacing w:after="0" w:before="0" w:line="240" w:lineRule="auto"/>
            </w:pPr>
            <w:r>
              <w:rPr>
                <w:sz w:val="14"/>
              </w:rPr>
              <w:t>Globex / KYC / AML</w:t>
            </w:r>
          </w:p>
        </w:tc>
        <w:tc>
          <w:tcPr>
            <w:tcW w:type="dxa" w:w="6624"/>
            <w:tcMar>
              <w:top w:w="22" w:type="dxa"/>
              <w:start w:w="40" w:type="dxa"/>
              <w:bottom w:w="22" w:type="dxa"/>
              <w:end w:w="40" w:type="dxa"/>
            </w:tcMar>
            <w:vAlign w:val="top"/>
          </w:tcPr>
          <w:p>
            <w:pPr>
              <w:spacing w:after="0" w:before="0" w:line="240" w:lineRule="auto"/>
            </w:pPr>
            <w:r>
              <w:rPr>
                <w:sz w:val="14"/>
              </w:rPr>
              <w:t>Qui fournit le service financier, qui effectue KYC/AML, qui répond en cas de blocage, erreur ou litige, et comment le client autorise contractuellement la répartition fournisseur + honoraires OSI?</w:t>
            </w:r>
          </w:p>
        </w:tc>
      </w:tr>
      <w:tr>
        <w:trPr>
          <w:cantSplit/>
        </w:trPr>
        <w:tc>
          <w:tcPr>
            <w:tcW w:type="dxa" w:w="2952"/>
            <w:tcMar>
              <w:top w:w="22" w:type="dxa"/>
              <w:start w:w="40" w:type="dxa"/>
              <w:bottom w:w="22" w:type="dxa"/>
              <w:end w:w="40" w:type="dxa"/>
            </w:tcMar>
            <w:vAlign w:val="top"/>
            <w:shd w:fill="FAFAFA"/>
          </w:tcPr>
          <w:p>
            <w:pPr>
              <w:spacing w:after="0" w:before="0" w:line="240" w:lineRule="auto"/>
            </w:pPr>
            <w:r>
              <w:rPr>
                <w:sz w:val="14"/>
              </w:rPr>
              <w:t>Privacy / Loi 25</w:t>
            </w:r>
          </w:p>
        </w:tc>
        <w:tc>
          <w:tcPr>
            <w:tcW w:type="dxa" w:w="6624"/>
            <w:tcMar>
              <w:top w:w="22" w:type="dxa"/>
              <w:start w:w="40" w:type="dxa"/>
              <w:bottom w:w="22" w:type="dxa"/>
              <w:end w:w="40" w:type="dxa"/>
            </w:tcMar>
            <w:vAlign w:val="top"/>
            <w:shd w:fill="FAFAFA"/>
          </w:tcPr>
          <w:p>
            <w:pPr>
              <w:spacing w:after="0" w:before="0" w:line="240" w:lineRule="auto"/>
            </w:pPr>
            <w:r>
              <w:rPr>
                <w:sz w:val="14"/>
              </w:rPr>
              <w:t>Quelles données peuvent être partagées avec Globex, SGS et autres partenaires? Consentement, finalité, rétention et transferts hors Québec?</w:t>
            </w:r>
          </w:p>
        </w:tc>
      </w:tr>
      <w:tr>
        <w:trPr>
          <w:cantSplit/>
        </w:trPr>
        <w:tc>
          <w:tcPr>
            <w:tcW w:type="dxa" w:w="2952"/>
            <w:tcMar>
              <w:top w:w="22" w:type="dxa"/>
              <w:start w:w="40" w:type="dxa"/>
              <w:bottom w:w="22" w:type="dxa"/>
              <w:end w:w="40" w:type="dxa"/>
            </w:tcMar>
            <w:vAlign w:val="top"/>
          </w:tcPr>
          <w:p>
            <w:pPr>
              <w:spacing w:after="0" w:before="0" w:line="240" w:lineRule="auto"/>
            </w:pPr>
            <w:r>
              <w:rPr>
                <w:sz w:val="14"/>
              </w:rPr>
              <w:t>Documents KYC</w:t>
            </w:r>
          </w:p>
        </w:tc>
        <w:tc>
          <w:tcPr>
            <w:tcW w:type="dxa" w:w="6624"/>
            <w:tcMar>
              <w:top w:w="22" w:type="dxa"/>
              <w:start w:w="40" w:type="dxa"/>
              <w:bottom w:w="22" w:type="dxa"/>
              <w:end w:w="40" w:type="dxa"/>
            </w:tcMar>
            <w:vAlign w:val="top"/>
          </w:tcPr>
          <w:p>
            <w:pPr>
              <w:spacing w:after="0" w:before="0" w:line="240" w:lineRule="auto"/>
            </w:pPr>
            <w:r>
              <w:rPr>
                <w:sz w:val="14"/>
              </w:rPr>
              <w:t>OSI doit-elle stocker les documents ou seulement un statut/token? Qui gère accès, correction et incident?</w:t>
            </w:r>
          </w:p>
        </w:tc>
      </w:tr>
      <w:tr>
        <w:trPr>
          <w:cantSplit/>
        </w:trPr>
        <w:tc>
          <w:tcPr>
            <w:tcW w:type="dxa" w:w="2952"/>
            <w:tcMar>
              <w:top w:w="22" w:type="dxa"/>
              <w:start w:w="40" w:type="dxa"/>
              <w:bottom w:w="22" w:type="dxa"/>
              <w:end w:w="40" w:type="dxa"/>
            </w:tcMar>
            <w:vAlign w:val="top"/>
            <w:shd w:fill="FAFAFA"/>
          </w:tcPr>
          <w:p>
            <w:pPr>
              <w:spacing w:after="0" w:before="0" w:line="240" w:lineRule="auto"/>
            </w:pPr>
            <w:r>
              <w:rPr>
                <w:sz w:val="14"/>
              </w:rPr>
              <w:t>Signatures / preuve</w:t>
            </w:r>
          </w:p>
        </w:tc>
        <w:tc>
          <w:tcPr>
            <w:tcW w:type="dxa" w:w="6624"/>
            <w:tcMar>
              <w:top w:w="22" w:type="dxa"/>
              <w:start w:w="40" w:type="dxa"/>
              <w:bottom w:w="22" w:type="dxa"/>
              <w:end w:w="40" w:type="dxa"/>
            </w:tcMar>
            <w:vAlign w:val="top"/>
            <w:shd w:fill="FAFAFA"/>
          </w:tcPr>
          <w:p>
            <w:pPr>
              <w:spacing w:after="0" w:before="0" w:line="240" w:lineRule="auto"/>
            </w:pPr>
            <w:r>
              <w:rPr>
                <w:sz w:val="14"/>
              </w:rPr>
              <w:t>Quelles signatures et traces sont suffisantes pour PO, contrats, acceptations et autres décisions?</w:t>
            </w:r>
          </w:p>
        </w:tc>
      </w:tr>
      <w:tr>
        <w:trPr>
          <w:cantSplit/>
        </w:trPr>
        <w:tc>
          <w:tcPr>
            <w:tcW w:type="dxa" w:w="2952"/>
            <w:tcMar>
              <w:top w:w="22" w:type="dxa"/>
              <w:start w:w="40" w:type="dxa"/>
              <w:bottom w:w="22" w:type="dxa"/>
              <w:end w:w="40" w:type="dxa"/>
            </w:tcMar>
            <w:vAlign w:val="top"/>
          </w:tcPr>
          <w:p>
            <w:pPr>
              <w:spacing w:after="0" w:before="0" w:line="240" w:lineRule="auto"/>
            </w:pPr>
            <w:r>
              <w:rPr>
                <w:sz w:val="14"/>
              </w:rPr>
              <w:t>Trust Score / réputation</w:t>
            </w:r>
          </w:p>
        </w:tc>
        <w:tc>
          <w:tcPr>
            <w:tcW w:type="dxa" w:w="6624"/>
            <w:tcMar>
              <w:top w:w="22" w:type="dxa"/>
              <w:start w:w="40" w:type="dxa"/>
              <w:bottom w:w="22" w:type="dxa"/>
              <w:end w:w="40" w:type="dxa"/>
            </w:tcMar>
            <w:vAlign w:val="top"/>
          </w:tcPr>
          <w:p>
            <w:pPr>
              <w:spacing w:after="0" w:before="0" w:line="240" w:lineRule="auto"/>
            </w:pPr>
            <w:r>
              <w:rPr>
                <w:sz w:val="14"/>
              </w:rPr>
              <w:t>Méthode, preuve, droit de correction/contestation et wording “vérifié”, “score”, “recommandé”.</w:t>
            </w:r>
          </w:p>
        </w:tc>
      </w:tr>
      <w:tr>
        <w:trPr>
          <w:cantSplit/>
        </w:trPr>
        <w:tc>
          <w:tcPr>
            <w:tcW w:type="dxa" w:w="2952"/>
            <w:tcMar>
              <w:top w:w="22" w:type="dxa"/>
              <w:start w:w="40" w:type="dxa"/>
              <w:bottom w:w="22" w:type="dxa"/>
              <w:end w:w="40" w:type="dxa"/>
            </w:tcMar>
            <w:vAlign w:val="top"/>
            <w:shd w:fill="FAFAFA"/>
          </w:tcPr>
          <w:p>
            <w:pPr>
              <w:spacing w:after="0" w:before="0" w:line="240" w:lineRule="auto"/>
            </w:pPr>
            <w:r>
              <w:rPr>
                <w:sz w:val="14"/>
              </w:rPr>
              <w:t>Responsabilité / importation</w:t>
            </w:r>
          </w:p>
        </w:tc>
        <w:tc>
          <w:tcPr>
            <w:tcW w:type="dxa" w:w="6624"/>
            <w:tcMar>
              <w:top w:w="22" w:type="dxa"/>
              <w:start w:w="40" w:type="dxa"/>
              <w:bottom w:w="22" w:type="dxa"/>
              <w:end w:w="40" w:type="dxa"/>
            </w:tcMar>
            <w:vAlign w:val="top"/>
            <w:shd w:fill="FAFAFA"/>
          </w:tcPr>
          <w:p>
            <w:pPr>
              <w:spacing w:after="0" w:before="0" w:line="240" w:lineRule="auto"/>
            </w:pPr>
            <w:r>
              <w:rPr>
                <w:sz w:val="14"/>
              </w:rPr>
              <w:t>OSI est-elle agent, courtier, mandataire ou plateforme? Qui est Importer of Record et responsable de la conformité?</w:t>
            </w:r>
          </w:p>
        </w:tc>
      </w:tr>
      <w:tr>
        <w:trPr>
          <w:cantSplit/>
        </w:trPr>
        <w:tc>
          <w:tcPr>
            <w:tcW w:type="dxa" w:w="2952"/>
            <w:tcMar>
              <w:top w:w="22" w:type="dxa"/>
              <w:start w:w="40" w:type="dxa"/>
              <w:bottom w:w="22" w:type="dxa"/>
              <w:end w:w="40" w:type="dxa"/>
            </w:tcMar>
            <w:vAlign w:val="top"/>
          </w:tcPr>
          <w:p>
            <w:pPr>
              <w:spacing w:after="0" w:before="0" w:line="240" w:lineRule="auto"/>
            </w:pPr>
            <w:r>
              <w:rPr>
                <w:sz w:val="14"/>
              </w:rPr>
              <w:t>Inspection / conformité</w:t>
            </w:r>
          </w:p>
        </w:tc>
        <w:tc>
          <w:tcPr>
            <w:tcW w:type="dxa" w:w="6624"/>
            <w:tcMar>
              <w:top w:w="22" w:type="dxa"/>
              <w:start w:w="40" w:type="dxa"/>
              <w:bottom w:w="22" w:type="dxa"/>
              <w:end w:w="40" w:type="dxa"/>
            </w:tcMar>
            <w:vAlign w:val="top"/>
          </w:tcPr>
          <w:p>
            <w:pPr>
              <w:spacing w:after="0" w:before="0" w:line="240" w:lineRule="auto"/>
            </w:pPr>
            <w:r>
              <w:rPr>
                <w:sz w:val="14"/>
              </w:rPr>
              <w:t>Quelle responsabilité d’OSI et du partenaire si une inspection ne détecte pas un défaut?</w:t>
            </w:r>
          </w:p>
        </w:tc>
      </w:tr>
      <w:tr>
        <w:trPr>
          <w:cantSplit/>
        </w:trPr>
        <w:tc>
          <w:tcPr>
            <w:tcW w:type="dxa" w:w="2952"/>
            <w:tcMar>
              <w:top w:w="22" w:type="dxa"/>
              <w:start w:w="40" w:type="dxa"/>
              <w:bottom w:w="22" w:type="dxa"/>
              <w:end w:w="40" w:type="dxa"/>
            </w:tcMar>
            <w:vAlign w:val="top"/>
            <w:shd w:fill="FAFAFA"/>
          </w:tcPr>
          <w:p>
            <w:pPr>
              <w:spacing w:after="0" w:before="0" w:line="240" w:lineRule="auto"/>
            </w:pPr>
            <w:r>
              <w:rPr>
                <w:sz w:val="14"/>
              </w:rPr>
              <w:t>Sanctions / export controls</w:t>
            </w:r>
          </w:p>
        </w:tc>
        <w:tc>
          <w:tcPr>
            <w:tcW w:type="dxa" w:w="6624"/>
            <w:tcMar>
              <w:top w:w="22" w:type="dxa"/>
              <w:start w:w="40" w:type="dxa"/>
              <w:bottom w:w="22" w:type="dxa"/>
              <w:end w:w="40" w:type="dxa"/>
            </w:tcMar>
            <w:vAlign w:val="top"/>
            <w:shd w:fill="FAFAFA"/>
          </w:tcPr>
          <w:p>
            <w:pPr>
              <w:spacing w:after="0" w:before="0" w:line="240" w:lineRule="auto"/>
            </w:pPr>
            <w:r>
              <w:rPr>
                <w:sz w:val="14"/>
              </w:rPr>
              <w:t>Quel screening est requis ou prudent, et à quel stade un dossier doit-il être bloqué?</w:t>
            </w:r>
          </w:p>
        </w:tc>
      </w:tr>
      <w:tr>
        <w:trPr>
          <w:cantSplit/>
        </w:trPr>
        <w:tc>
          <w:tcPr>
            <w:tcW w:type="dxa" w:w="2952"/>
            <w:tcMar>
              <w:top w:w="22" w:type="dxa"/>
              <w:start w:w="40" w:type="dxa"/>
              <w:bottom w:w="22" w:type="dxa"/>
              <w:end w:w="40" w:type="dxa"/>
            </w:tcMar>
            <w:vAlign w:val="top"/>
          </w:tcPr>
          <w:p>
            <w:pPr>
              <w:spacing w:after="0" w:before="0" w:line="240" w:lineRule="auto"/>
            </w:pPr>
            <w:r>
              <w:rPr>
                <w:sz w:val="14"/>
              </w:rPr>
              <w:t>Outreach / scraping</w:t>
            </w:r>
          </w:p>
        </w:tc>
        <w:tc>
          <w:tcPr>
            <w:tcW w:type="dxa" w:w="6624"/>
            <w:tcMar>
              <w:top w:w="22" w:type="dxa"/>
              <w:start w:w="40" w:type="dxa"/>
              <w:bottom w:w="22" w:type="dxa"/>
              <w:end w:w="40" w:type="dxa"/>
            </w:tcMar>
            <w:vAlign w:val="top"/>
          </w:tcPr>
          <w:p>
            <w:pPr>
              <w:spacing w:after="0" w:before="0" w:line="240" w:lineRule="auto"/>
            </w:pPr>
            <w:r>
              <w:rPr>
                <w:sz w:val="14"/>
              </w:rPr>
              <w:t>Règles CASL pour sollicitation fournisseur; droits d’utilisation/réutilisation des sources et données.</w:t>
            </w:r>
          </w:p>
        </w:tc>
      </w:tr>
      <w:tr>
        <w:trPr>
          <w:cantSplit/>
        </w:trPr>
        <w:tc>
          <w:tcPr>
            <w:tcW w:type="dxa" w:w="2952"/>
            <w:tcMar>
              <w:top w:w="22" w:type="dxa"/>
              <w:start w:w="40" w:type="dxa"/>
              <w:bottom w:w="22" w:type="dxa"/>
              <w:end w:w="40" w:type="dxa"/>
            </w:tcMar>
            <w:vAlign w:val="top"/>
            <w:shd w:fill="FAFAFA"/>
          </w:tcPr>
          <w:p>
            <w:pPr>
              <w:spacing w:after="0" w:before="0" w:line="240" w:lineRule="auto"/>
            </w:pPr>
            <w:r>
              <w:rPr>
                <w:sz w:val="14"/>
              </w:rPr>
              <w:t>Taxes / revenus</w:t>
            </w:r>
          </w:p>
        </w:tc>
        <w:tc>
          <w:tcPr>
            <w:tcW w:type="dxa" w:w="6624"/>
            <w:tcMar>
              <w:top w:w="22" w:type="dxa"/>
              <w:start w:w="40" w:type="dxa"/>
              <w:bottom w:w="22" w:type="dxa"/>
              <w:end w:w="40" w:type="dxa"/>
            </w:tcMar>
            <w:vAlign w:val="top"/>
            <w:shd w:fill="FAFAFA"/>
          </w:tcPr>
          <w:p>
            <w:pPr>
              <w:spacing w:after="0" w:before="0" w:line="240" w:lineRule="auto"/>
            </w:pPr>
            <w:r>
              <w:rPr>
                <w:sz w:val="14"/>
              </w:rPr>
              <w:t>TPS/TVQ sur les honoraires OSI intégrés au règlement et sur le revenue share; contenu de la facture client, devise, lieu de fourniture et facturation transfrontalière.</w:t>
            </w:r>
          </w:p>
        </w:tc>
      </w:tr>
      <w:tr>
        <w:trPr>
          <w:cantSplit/>
        </w:trPr>
        <w:tc>
          <w:tcPr>
            <w:tcW w:type="dxa" w:w="2952"/>
            <w:tcMar>
              <w:top w:w="22" w:type="dxa"/>
              <w:start w:w="40" w:type="dxa"/>
              <w:bottom w:w="22" w:type="dxa"/>
              <w:end w:w="40" w:type="dxa"/>
            </w:tcMar>
            <w:vAlign w:val="top"/>
          </w:tcPr>
          <w:p>
            <w:pPr>
              <w:spacing w:after="0" w:before="0" w:line="240" w:lineRule="auto"/>
            </w:pPr>
            <w:r>
              <w:rPr>
                <w:sz w:val="14"/>
              </w:rPr>
              <w:t>Litiges / assurance</w:t>
            </w:r>
          </w:p>
        </w:tc>
        <w:tc>
          <w:tcPr>
            <w:tcW w:type="dxa" w:w="6624"/>
            <w:tcMar>
              <w:top w:w="22" w:type="dxa"/>
              <w:start w:w="40" w:type="dxa"/>
              <w:bottom w:w="22" w:type="dxa"/>
              <w:end w:w="40" w:type="dxa"/>
            </w:tcMar>
            <w:vAlign w:val="top"/>
          </w:tcPr>
          <w:p>
            <w:pPr>
              <w:spacing w:after="0" w:before="0" w:line="240" w:lineRule="auto"/>
            </w:pPr>
            <w:r>
              <w:rPr>
                <w:sz w:val="14"/>
              </w:rPr>
              <w:t>Processus de contestation, médiation/arbitrage, E&amp;O, cyber, cargo et autres protections nécessaires.</w:t>
            </w:r>
          </w:p>
        </w:tc>
      </w:tr>
    </w:tbl>
    <w:p>
      <w:pPr>
        <w:spacing w:after="0" w:before="0"/>
      </w:pPr>
    </w:p>
    <w:tbl>
      <w:tblPr>
        <w:tblW w:type="auto" w:w="0"/>
        <w:jc w:val="center"/>
        <w:tblLayout w:type="autofit"/>
        <w:tblLook w:firstColumn="1" w:firstRow="1" w:lastColumn="0" w:lastRow="0" w:noHBand="0" w:noVBand="1" w:val="04A0"/>
      </w:tblPr>
      <w:tblGrid>
        <w:gridCol w:w="10123"/>
      </w:tblGrid>
      <w:tr>
        <w:trPr>
          <w:cantSplit/>
        </w:trPr>
        <w:tc>
          <w:tcPr>
            <w:tcW w:type="dxa" w:w="10123"/>
            <w:shd w:fill="F9E8E7"/>
            <w:tcMar>
              <w:top w:w="38" w:type="dxa"/>
              <w:start w:w="50" w:type="dxa"/>
              <w:bottom w:w="38" w:type="dxa"/>
              <w:end w:w="50" w:type="dxa"/>
            </w:tcMar>
            <w:tcBorders>
              <w:left w:val="single" w:sz="18" w:color="B5403C"/>
            </w:tcBorders>
          </w:tcPr>
          <w:p>
            <w:pPr>
              <w:spacing w:after="0" w:before="0" w:line="240" w:lineRule="auto"/>
            </w:pPr>
            <w:r>
              <w:rPr>
                <w:b/>
                <w:color w:val="B5403C"/>
                <w:sz w:val="18"/>
              </w:rPr>
              <w:t>PRIORITÉ JURIDIQUE #1</w:t>
            </w:r>
          </w:p>
          <w:p>
            <w:pPr>
              <w:spacing w:after="0" w:before="0" w:line="240" w:lineRule="auto"/>
            </w:pPr>
            <w:r>
              <w:t>Avant de programmer le split de règlement, Zack doit confirmer que Globex peut recevoir le montant global, régler le fournisseur et remettre les honoraires OSI selon l’autorisation du client, sans faire d’OSI le détenteur des fonds commerciaux ni lui attribuer un rôle réglementé non désiré.</w:t>
            </w:r>
          </w:p>
        </w:tc>
      </w:tr>
    </w:tbl>
    <w:p>
      <w:pPr>
        <w:spacing w:after="0" w:before="0"/>
      </w:pPr>
    </w:p>
    <w:p>
      <w:pPr>
        <w:pStyle w:val="Heading1"/>
        <w:keepNext/>
        <w:keepNext/>
      </w:pPr>
      <w:r>
        <w:t>10. Roadmap, critères d’acceptation et décisions ouvertes</w:t>
      </w:r>
    </w:p>
    <w:p>
      <w:pPr>
        <w:pStyle w:val="SectionSubtitle"/>
      </w:pPr>
      <w:r>
        <w:t>Une seule section de gouvernance produit : ce qui doit être construit, comment on sait que ça fonctionne, et ce qui reste à trancher.</w:t>
      </w:r>
    </w:p>
    <w:p>
      <w:pPr>
        <w:pStyle w:val="Heading2"/>
        <w:keepNext/>
        <w:keepNext/>
      </w:pPr>
      <w:r>
        <w:t>Roadmap produit pour Yves</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864"/>
            <w:shd w:fill="111111"/>
            <w:tcMar>
              <w:top w:w="38" w:type="dxa"/>
              <w:start w:w="50" w:type="dxa"/>
              <w:bottom w:w="38" w:type="dxa"/>
              <w:end w:w="50" w:type="dxa"/>
            </w:tcMar>
          </w:tcPr>
          <w:p>
            <w:pPr>
              <w:spacing w:after="0" w:before="0" w:line="240" w:lineRule="auto"/>
            </w:pPr>
            <w:r>
              <w:rPr>
                <w:b/>
                <w:color w:val="FFFFFF"/>
                <w:sz w:val="14"/>
              </w:rPr>
              <w:t>Priorité</w:t>
            </w:r>
          </w:p>
        </w:tc>
        <w:tc>
          <w:tcPr>
            <w:tcW w:type="dxa" w:w="2592"/>
            <w:shd w:fill="111111"/>
            <w:tcMar>
              <w:top w:w="38" w:type="dxa"/>
              <w:start w:w="50" w:type="dxa"/>
              <w:bottom w:w="38" w:type="dxa"/>
              <w:end w:w="50" w:type="dxa"/>
            </w:tcMar>
          </w:tcPr>
          <w:p>
            <w:pPr>
              <w:spacing w:after="0" w:before="0" w:line="240" w:lineRule="auto"/>
            </w:pPr>
            <w:r>
              <w:rPr>
                <w:b/>
                <w:color w:val="FFFFFF"/>
                <w:sz w:val="14"/>
              </w:rPr>
              <w:t>Bloc</w:t>
            </w:r>
          </w:p>
        </w:tc>
        <w:tc>
          <w:tcPr>
            <w:tcW w:type="dxa" w:w="4464"/>
            <w:shd w:fill="111111"/>
            <w:tcMar>
              <w:top w:w="38" w:type="dxa"/>
              <w:start w:w="50" w:type="dxa"/>
              <w:bottom w:w="38" w:type="dxa"/>
              <w:end w:w="50" w:type="dxa"/>
            </w:tcMar>
          </w:tcPr>
          <w:p>
            <w:pPr>
              <w:spacing w:after="0" w:before="0" w:line="240" w:lineRule="auto"/>
            </w:pPr>
            <w:r>
              <w:rPr>
                <w:b/>
                <w:color w:val="FFFFFF"/>
                <w:sz w:val="14"/>
              </w:rPr>
              <w:t>Livrable</w:t>
            </w:r>
          </w:p>
        </w:tc>
        <w:tc>
          <w:tcPr>
            <w:tcW w:type="dxa" w:w="1800"/>
            <w:shd w:fill="111111"/>
            <w:tcMar>
              <w:top w:w="38" w:type="dxa"/>
              <w:start w:w="50" w:type="dxa"/>
              <w:bottom w:w="38" w:type="dxa"/>
              <w:end w:w="50" w:type="dxa"/>
            </w:tcMar>
          </w:tcPr>
          <w:p>
            <w:pPr>
              <w:spacing w:after="0" w:before="0" w:line="240" w:lineRule="auto"/>
            </w:pPr>
            <w:r>
              <w:rPr>
                <w:b/>
                <w:color w:val="FFFFFF"/>
                <w:sz w:val="14"/>
              </w:rPr>
              <w:t>Statut</w:t>
            </w:r>
          </w:p>
        </w:tc>
      </w:tr>
      <w:tr>
        <w:trPr>
          <w:cantSplit/>
        </w:trPr>
        <w:tc>
          <w:tcPr>
            <w:tcW w:type="dxa" w:w="864"/>
            <w:tcMar>
              <w:top w:w="38" w:type="dxa"/>
              <w:start w:w="50" w:type="dxa"/>
              <w:bottom w:w="38" w:type="dxa"/>
              <w:end w:w="50" w:type="dxa"/>
            </w:tcMar>
            <w:vAlign w:val="top"/>
          </w:tcPr>
          <w:p>
            <w:pPr>
              <w:spacing w:after="0" w:before="0" w:line="240" w:lineRule="auto"/>
            </w:pPr>
            <w:r>
              <w:rPr>
                <w:sz w:val="14"/>
              </w:rPr>
              <w:t>P0</w:t>
            </w:r>
          </w:p>
        </w:tc>
        <w:tc>
          <w:tcPr>
            <w:tcW w:type="dxa" w:w="2592"/>
            <w:tcMar>
              <w:top w:w="38" w:type="dxa"/>
              <w:start w:w="50" w:type="dxa"/>
              <w:bottom w:w="38" w:type="dxa"/>
              <w:end w:w="50" w:type="dxa"/>
            </w:tcMar>
            <w:vAlign w:val="top"/>
          </w:tcPr>
          <w:p>
            <w:pPr>
              <w:spacing w:after="0" w:before="0" w:line="240" w:lineRule="auto"/>
            </w:pPr>
            <w:r>
              <w:rPr>
                <w:sz w:val="14"/>
              </w:rPr>
              <w:t>Noyau actuel</w:t>
            </w:r>
          </w:p>
        </w:tc>
        <w:tc>
          <w:tcPr>
            <w:tcW w:type="dxa" w:w="4464"/>
            <w:tcMar>
              <w:top w:w="38" w:type="dxa"/>
              <w:start w:w="50" w:type="dxa"/>
              <w:bottom w:w="38" w:type="dxa"/>
              <w:end w:w="50" w:type="dxa"/>
            </w:tcMar>
            <w:vAlign w:val="top"/>
          </w:tcPr>
          <w:p>
            <w:pPr>
              <w:spacing w:after="0" w:before="0" w:line="240" w:lineRule="auto"/>
            </w:pPr>
            <w:r>
              <w:rPr>
                <w:sz w:val="14"/>
              </w:rPr>
              <w:t>Demande → recherche → score → rapport / admin</w:t>
            </w:r>
          </w:p>
        </w:tc>
        <w:tc>
          <w:tcPr>
            <w:tcW w:type="dxa" w:w="1800"/>
            <w:tcMar>
              <w:top w:w="38" w:type="dxa"/>
              <w:start w:w="50" w:type="dxa"/>
              <w:bottom w:w="38" w:type="dxa"/>
              <w:end w:w="50" w:type="dxa"/>
            </w:tcMar>
            <w:vAlign w:val="top"/>
          </w:tcPr>
          <w:p>
            <w:pPr>
              <w:spacing w:after="0" w:before="0" w:line="240" w:lineRule="auto"/>
            </w:pPr>
            <w:r>
              <w:rPr>
                <w:sz w:val="14"/>
              </w:rPr>
              <w:t>CONFIRMÉ</w:t>
            </w:r>
          </w:p>
        </w:tc>
      </w:tr>
      <w:tr>
        <w:trPr>
          <w:cantSplit/>
        </w:trPr>
        <w:tc>
          <w:tcPr>
            <w:tcW w:type="dxa" w:w="864"/>
            <w:tcMar>
              <w:top w:w="38" w:type="dxa"/>
              <w:start w:w="50" w:type="dxa"/>
              <w:bottom w:w="38" w:type="dxa"/>
              <w:end w:w="50" w:type="dxa"/>
            </w:tcMar>
            <w:vAlign w:val="top"/>
            <w:shd w:fill="FAFAFA"/>
          </w:tcPr>
          <w:p>
            <w:pPr>
              <w:spacing w:after="0" w:before="0" w:line="240" w:lineRule="auto"/>
            </w:pPr>
            <w:r>
              <w:rPr>
                <w:sz w:val="14"/>
              </w:rPr>
              <w:t>P1</w:t>
            </w:r>
          </w:p>
        </w:tc>
        <w:tc>
          <w:tcPr>
            <w:tcW w:type="dxa" w:w="2592"/>
            <w:tcMar>
              <w:top w:w="38" w:type="dxa"/>
              <w:start w:w="50" w:type="dxa"/>
              <w:bottom w:w="38" w:type="dxa"/>
              <w:end w:w="50" w:type="dxa"/>
            </w:tcMar>
            <w:vAlign w:val="top"/>
            <w:shd w:fill="FAFAFA"/>
          </w:tcPr>
          <w:p>
            <w:pPr>
              <w:spacing w:after="0" w:before="0" w:line="240" w:lineRule="auto"/>
            </w:pPr>
            <w:r>
              <w:rPr>
                <w:sz w:val="14"/>
              </w:rPr>
              <w:t>KPI #1 + RFQ</w:t>
            </w:r>
          </w:p>
        </w:tc>
        <w:tc>
          <w:tcPr>
            <w:tcW w:type="dxa" w:w="4464"/>
            <w:tcMar>
              <w:top w:w="38" w:type="dxa"/>
              <w:start w:w="50" w:type="dxa"/>
              <w:bottom w:w="38" w:type="dxa"/>
              <w:end w:w="50" w:type="dxa"/>
            </w:tcMar>
            <w:vAlign w:val="top"/>
            <w:shd w:fill="FAFAFA"/>
          </w:tcPr>
          <w:p>
            <w:pPr>
              <w:spacing w:after="0" w:before="0" w:line="240" w:lineRule="auto"/>
            </w:pPr>
            <w:r>
              <w:rPr>
                <w:sz w:val="14"/>
              </w:rPr>
              <w:t>Offer model, accès fournisseur, Top 5 initial</w:t>
            </w:r>
          </w:p>
        </w:tc>
        <w:tc>
          <w:tcPr>
            <w:tcW w:type="dxa" w:w="1800"/>
            <w:tcMar>
              <w:top w:w="38" w:type="dxa"/>
              <w:start w:w="50" w:type="dxa"/>
              <w:bottom w:w="38" w:type="dxa"/>
              <w:end w:w="50" w:type="dxa"/>
            </w:tcMar>
            <w:vAlign w:val="top"/>
            <w:shd w:fill="FAFAFA"/>
          </w:tcPr>
          <w:p>
            <w:pPr>
              <w:spacing w:after="0" w:before="0" w:line="240" w:lineRule="auto"/>
            </w:pPr>
            <w:r>
              <w:rPr>
                <w:sz w:val="14"/>
              </w:rPr>
              <w:t>CONFIRMÉ</w:t>
            </w:r>
          </w:p>
        </w:tc>
      </w:tr>
      <w:tr>
        <w:trPr>
          <w:cantSplit/>
        </w:trPr>
        <w:tc>
          <w:tcPr>
            <w:tcW w:type="dxa" w:w="864"/>
            <w:tcMar>
              <w:top w:w="38" w:type="dxa"/>
              <w:start w:w="50" w:type="dxa"/>
              <w:bottom w:w="38" w:type="dxa"/>
              <w:end w:w="50" w:type="dxa"/>
            </w:tcMar>
            <w:vAlign w:val="top"/>
          </w:tcPr>
          <w:p>
            <w:pPr>
              <w:spacing w:after="0" w:before="0" w:line="240" w:lineRule="auto"/>
            </w:pPr>
            <w:r>
              <w:rPr>
                <w:sz w:val="14"/>
              </w:rPr>
              <w:t>P2</w:t>
            </w:r>
          </w:p>
        </w:tc>
        <w:tc>
          <w:tcPr>
            <w:tcW w:type="dxa" w:w="2592"/>
            <w:tcMar>
              <w:top w:w="38" w:type="dxa"/>
              <w:start w:w="50" w:type="dxa"/>
              <w:bottom w:w="38" w:type="dxa"/>
              <w:end w:w="50" w:type="dxa"/>
            </w:tcMar>
            <w:vAlign w:val="top"/>
          </w:tcPr>
          <w:p>
            <w:pPr>
              <w:spacing w:after="0" w:before="0" w:line="240" w:lineRule="auto"/>
            </w:pPr>
            <w:r>
              <w:rPr>
                <w:sz w:val="14"/>
              </w:rPr>
              <w:t>Partner Hub pré-décision</w:t>
            </w:r>
          </w:p>
        </w:tc>
        <w:tc>
          <w:tcPr>
            <w:tcW w:type="dxa" w:w="4464"/>
            <w:tcMar>
              <w:top w:w="38" w:type="dxa"/>
              <w:start w:w="50" w:type="dxa"/>
              <w:bottom w:w="38" w:type="dxa"/>
              <w:end w:w="50" w:type="dxa"/>
            </w:tcMar>
            <w:vAlign w:val="top"/>
          </w:tcPr>
          <w:p>
            <w:pPr>
              <w:spacing w:after="0" w:before="0" w:line="240" w:lineRule="auto"/>
            </w:pPr>
            <w:r>
              <w:rPr>
                <w:sz w:val="14"/>
              </w:rPr>
              <w:t>PartnerCase + Globex/transport/SGS + enrichissements</w:t>
            </w:r>
          </w:p>
        </w:tc>
        <w:tc>
          <w:tcPr>
            <w:tcW w:type="dxa" w:w="1800"/>
            <w:tcMar>
              <w:top w:w="38" w:type="dxa"/>
              <w:start w:w="50" w:type="dxa"/>
              <w:bottom w:w="38" w:type="dxa"/>
              <w:end w:w="50" w:type="dxa"/>
            </w:tcMar>
            <w:vAlign w:val="top"/>
          </w:tcPr>
          <w:p>
            <w:pPr>
              <w:spacing w:after="0" w:before="0" w:line="240" w:lineRule="auto"/>
            </w:pPr>
            <w:r>
              <w:rPr>
                <w:sz w:val="14"/>
              </w:rPr>
              <w:t>CONFIRMÉ - cible</w:t>
            </w:r>
          </w:p>
        </w:tc>
      </w:tr>
      <w:tr>
        <w:trPr>
          <w:cantSplit/>
        </w:trPr>
        <w:tc>
          <w:tcPr>
            <w:tcW w:type="dxa" w:w="864"/>
            <w:tcMar>
              <w:top w:w="38" w:type="dxa"/>
              <w:start w:w="50" w:type="dxa"/>
              <w:bottom w:w="38" w:type="dxa"/>
              <w:end w:w="50" w:type="dxa"/>
            </w:tcMar>
            <w:vAlign w:val="top"/>
            <w:shd w:fill="FAFAFA"/>
          </w:tcPr>
          <w:p>
            <w:pPr>
              <w:spacing w:after="0" w:before="0" w:line="240" w:lineRule="auto"/>
            </w:pPr>
            <w:r>
              <w:rPr>
                <w:sz w:val="14"/>
              </w:rPr>
              <w:t>P3</w:t>
            </w:r>
          </w:p>
        </w:tc>
        <w:tc>
          <w:tcPr>
            <w:tcW w:type="dxa" w:w="2592"/>
            <w:tcMar>
              <w:top w:w="38" w:type="dxa"/>
              <w:start w:w="50" w:type="dxa"/>
              <w:bottom w:w="38" w:type="dxa"/>
              <w:end w:w="50" w:type="dxa"/>
            </w:tcMar>
            <w:vAlign w:val="top"/>
            <w:shd w:fill="FAFAFA"/>
          </w:tcPr>
          <w:p>
            <w:pPr>
              <w:spacing w:after="0" w:before="0" w:line="240" w:lineRule="auto"/>
            </w:pPr>
            <w:r>
              <w:rPr>
                <w:sz w:val="14"/>
              </w:rPr>
              <w:t>KPI #2 + Decision Pack</w:t>
            </w:r>
          </w:p>
        </w:tc>
        <w:tc>
          <w:tcPr>
            <w:tcW w:type="dxa" w:w="4464"/>
            <w:tcMar>
              <w:top w:w="38" w:type="dxa"/>
              <w:start w:w="50" w:type="dxa"/>
              <w:bottom w:w="38" w:type="dxa"/>
              <w:end w:w="50" w:type="dxa"/>
            </w:tcMar>
            <w:vAlign w:val="top"/>
            <w:shd w:fill="FAFAFA"/>
          </w:tcPr>
          <w:p>
            <w:pPr>
              <w:spacing w:after="0" w:before="0" w:line="240" w:lineRule="auto"/>
            </w:pPr>
            <w:r>
              <w:rPr>
                <w:sz w:val="14"/>
              </w:rPr>
              <w:t>Re-ranking transactionnel + Top 5 final</w:t>
            </w:r>
          </w:p>
        </w:tc>
        <w:tc>
          <w:tcPr>
            <w:tcW w:type="dxa" w:w="1800"/>
            <w:tcMar>
              <w:top w:w="38" w:type="dxa"/>
              <w:start w:w="50" w:type="dxa"/>
              <w:bottom w:w="38" w:type="dxa"/>
              <w:end w:w="50" w:type="dxa"/>
            </w:tcMar>
            <w:vAlign w:val="top"/>
            <w:shd w:fill="FAFAFA"/>
          </w:tcPr>
          <w:p>
            <w:pPr>
              <w:spacing w:after="0" w:before="0" w:line="240" w:lineRule="auto"/>
            </w:pPr>
            <w:r>
              <w:rPr>
                <w:sz w:val="14"/>
              </w:rPr>
              <w:t>CONFIRMÉ</w:t>
            </w:r>
          </w:p>
        </w:tc>
      </w:tr>
      <w:tr>
        <w:trPr>
          <w:cantSplit/>
        </w:trPr>
        <w:tc>
          <w:tcPr>
            <w:tcW w:type="dxa" w:w="864"/>
            <w:tcMar>
              <w:top w:w="38" w:type="dxa"/>
              <w:start w:w="50" w:type="dxa"/>
              <w:bottom w:w="38" w:type="dxa"/>
              <w:end w:w="50" w:type="dxa"/>
            </w:tcMar>
            <w:vAlign w:val="top"/>
          </w:tcPr>
          <w:p>
            <w:pPr>
              <w:spacing w:after="0" w:before="0" w:line="240" w:lineRule="auto"/>
            </w:pPr>
            <w:r>
              <w:rPr>
                <w:sz w:val="14"/>
              </w:rPr>
              <w:t>P4</w:t>
            </w:r>
          </w:p>
        </w:tc>
        <w:tc>
          <w:tcPr>
            <w:tcW w:type="dxa" w:w="2592"/>
            <w:tcMar>
              <w:top w:w="38" w:type="dxa"/>
              <w:start w:w="50" w:type="dxa"/>
              <w:bottom w:w="38" w:type="dxa"/>
              <w:end w:w="50" w:type="dxa"/>
            </w:tcMar>
            <w:vAlign w:val="top"/>
          </w:tcPr>
          <w:p>
            <w:pPr>
              <w:spacing w:after="0" w:before="0" w:line="240" w:lineRule="auto"/>
            </w:pPr>
            <w:r>
              <w:rPr>
                <w:sz w:val="14"/>
              </w:rPr>
              <w:t>Deal / Transaction Room</w:t>
            </w:r>
          </w:p>
        </w:tc>
        <w:tc>
          <w:tcPr>
            <w:tcW w:type="dxa" w:w="4464"/>
            <w:tcMar>
              <w:top w:w="38" w:type="dxa"/>
              <w:start w:w="50" w:type="dxa"/>
              <w:bottom w:w="38" w:type="dxa"/>
              <w:end w:w="50" w:type="dxa"/>
            </w:tcMar>
            <w:vAlign w:val="top"/>
          </w:tcPr>
          <w:p>
            <w:pPr>
              <w:spacing w:after="0" w:before="0" w:line="240" w:lineRule="auto"/>
            </w:pPr>
            <w:r>
              <w:rPr>
                <w:sz w:val="14"/>
              </w:rPr>
              <w:t>Commande validée, parties, documents, contrats</w:t>
            </w:r>
          </w:p>
        </w:tc>
        <w:tc>
          <w:tcPr>
            <w:tcW w:type="dxa" w:w="1800"/>
            <w:tcMar>
              <w:top w:w="38" w:type="dxa"/>
              <w:start w:w="50" w:type="dxa"/>
              <w:bottom w:w="38" w:type="dxa"/>
              <w:end w:w="50" w:type="dxa"/>
            </w:tcMar>
            <w:vAlign w:val="top"/>
          </w:tcPr>
          <w:p>
            <w:pPr>
              <w:spacing w:after="0" w:before="0" w:line="240" w:lineRule="auto"/>
            </w:pPr>
            <w:r>
              <w:rPr>
                <w:sz w:val="14"/>
              </w:rPr>
              <w:t>RECOMMANDÉ / cible</w:t>
            </w:r>
          </w:p>
        </w:tc>
      </w:tr>
      <w:tr>
        <w:trPr>
          <w:cantSplit/>
        </w:trPr>
        <w:tc>
          <w:tcPr>
            <w:tcW w:type="dxa" w:w="864"/>
            <w:tcMar>
              <w:top w:w="38" w:type="dxa"/>
              <w:start w:w="50" w:type="dxa"/>
              <w:bottom w:w="38" w:type="dxa"/>
              <w:end w:w="50" w:type="dxa"/>
            </w:tcMar>
            <w:vAlign w:val="top"/>
            <w:shd w:fill="FAFAFA"/>
          </w:tcPr>
          <w:p>
            <w:pPr>
              <w:spacing w:after="0" w:before="0" w:line="240" w:lineRule="auto"/>
            </w:pPr>
            <w:r>
              <w:rPr>
                <w:sz w:val="14"/>
              </w:rPr>
              <w:t>P5</w:t>
            </w:r>
          </w:p>
        </w:tc>
        <w:tc>
          <w:tcPr>
            <w:tcW w:type="dxa" w:w="2592"/>
            <w:tcMar>
              <w:top w:w="38" w:type="dxa"/>
              <w:start w:w="50" w:type="dxa"/>
              <w:bottom w:w="38" w:type="dxa"/>
              <w:end w:w="50" w:type="dxa"/>
            </w:tcMar>
            <w:vAlign w:val="top"/>
            <w:shd w:fill="FAFAFA"/>
          </w:tcPr>
          <w:p>
            <w:pPr>
              <w:spacing w:after="0" w:before="0" w:line="240" w:lineRule="auto"/>
            </w:pPr>
            <w:r>
              <w:rPr>
                <w:sz w:val="14"/>
              </w:rPr>
              <w:t>Globex opérationnel</w:t>
            </w:r>
          </w:p>
        </w:tc>
        <w:tc>
          <w:tcPr>
            <w:tcW w:type="dxa" w:w="4464"/>
            <w:tcMar>
              <w:top w:w="38" w:type="dxa"/>
              <w:start w:w="50" w:type="dxa"/>
              <w:bottom w:w="38" w:type="dxa"/>
              <w:end w:w="50" w:type="dxa"/>
            </w:tcMar>
            <w:vAlign w:val="top"/>
            <w:shd w:fill="FAFAFA"/>
          </w:tcPr>
          <w:p>
            <w:pPr>
              <w:spacing w:after="0" w:before="0" w:line="240" w:lineRule="auto"/>
            </w:pPr>
            <w:r>
              <w:rPr>
                <w:sz w:val="14"/>
              </w:rPr>
              <w:t>Documents, redirection/API, statuts, audit</w:t>
            </w:r>
          </w:p>
        </w:tc>
        <w:tc>
          <w:tcPr>
            <w:tcW w:type="dxa" w:w="1800"/>
            <w:tcMar>
              <w:top w:w="38" w:type="dxa"/>
              <w:start w:w="50" w:type="dxa"/>
              <w:bottom w:w="38" w:type="dxa"/>
              <w:end w:w="50" w:type="dxa"/>
            </w:tcMar>
            <w:vAlign w:val="top"/>
            <w:shd w:fill="FAFAFA"/>
          </w:tcPr>
          <w:p>
            <w:pPr>
              <w:spacing w:after="0" w:before="0" w:line="240" w:lineRule="auto"/>
            </w:pPr>
            <w:r>
              <w:rPr>
                <w:sz w:val="14"/>
              </w:rPr>
              <w:t>CONFIRMÉ - détails ouverts</w:t>
            </w:r>
          </w:p>
        </w:tc>
      </w:tr>
      <w:tr>
        <w:trPr>
          <w:cantSplit/>
        </w:trPr>
        <w:tc>
          <w:tcPr>
            <w:tcW w:type="dxa" w:w="864"/>
            <w:tcMar>
              <w:top w:w="38" w:type="dxa"/>
              <w:start w:w="50" w:type="dxa"/>
              <w:bottom w:w="38" w:type="dxa"/>
              <w:end w:w="50" w:type="dxa"/>
            </w:tcMar>
            <w:vAlign w:val="top"/>
          </w:tcPr>
          <w:p>
            <w:pPr>
              <w:spacing w:after="0" w:before="0" w:line="240" w:lineRule="auto"/>
            </w:pPr>
            <w:r>
              <w:rPr>
                <w:sz w:val="14"/>
              </w:rPr>
              <w:t>P6</w:t>
            </w:r>
          </w:p>
        </w:tc>
        <w:tc>
          <w:tcPr>
            <w:tcW w:type="dxa" w:w="2592"/>
            <w:tcMar>
              <w:top w:w="38" w:type="dxa"/>
              <w:start w:w="50" w:type="dxa"/>
              <w:bottom w:w="38" w:type="dxa"/>
              <w:end w:w="50" w:type="dxa"/>
            </w:tcMar>
            <w:vAlign w:val="top"/>
          </w:tcPr>
          <w:p>
            <w:pPr>
              <w:spacing w:after="0" w:before="0" w:line="240" w:lineRule="auto"/>
            </w:pPr>
            <w:r>
              <w:rPr>
                <w:sz w:val="14"/>
              </w:rPr>
              <w:t>Inspection / logistique / douane</w:t>
            </w:r>
          </w:p>
        </w:tc>
        <w:tc>
          <w:tcPr>
            <w:tcW w:type="dxa" w:w="4464"/>
            <w:tcMar>
              <w:top w:w="38" w:type="dxa"/>
              <w:start w:w="50" w:type="dxa"/>
              <w:bottom w:w="38" w:type="dxa"/>
              <w:end w:w="50" w:type="dxa"/>
            </w:tcMar>
            <w:vAlign w:val="top"/>
          </w:tcPr>
          <w:p>
            <w:pPr>
              <w:spacing w:after="0" w:before="0" w:line="240" w:lineRule="auto"/>
            </w:pPr>
            <w:r>
              <w:rPr>
                <w:sz w:val="14"/>
              </w:rPr>
              <w:t>Milestones et partenaires après commande</w:t>
            </w:r>
          </w:p>
        </w:tc>
        <w:tc>
          <w:tcPr>
            <w:tcW w:type="dxa" w:w="1800"/>
            <w:tcMar>
              <w:top w:w="38" w:type="dxa"/>
              <w:start w:w="50" w:type="dxa"/>
              <w:bottom w:w="38" w:type="dxa"/>
              <w:end w:w="50" w:type="dxa"/>
            </w:tcMar>
            <w:vAlign w:val="top"/>
          </w:tcPr>
          <w:p>
            <w:pPr>
              <w:spacing w:after="0" w:before="0" w:line="240" w:lineRule="auto"/>
            </w:pPr>
            <w:r>
              <w:rPr>
                <w:sz w:val="14"/>
              </w:rPr>
              <w:t>RECOMMANDÉ / cible</w:t>
            </w:r>
          </w:p>
        </w:tc>
      </w:tr>
      <w:tr>
        <w:trPr>
          <w:cantSplit/>
        </w:trPr>
        <w:tc>
          <w:tcPr>
            <w:tcW w:type="dxa" w:w="864"/>
            <w:tcMar>
              <w:top w:w="38" w:type="dxa"/>
              <w:start w:w="50" w:type="dxa"/>
              <w:bottom w:w="38" w:type="dxa"/>
              <w:end w:w="50" w:type="dxa"/>
            </w:tcMar>
            <w:vAlign w:val="top"/>
            <w:shd w:fill="FAFAFA"/>
          </w:tcPr>
          <w:p>
            <w:pPr>
              <w:spacing w:after="0" w:before="0" w:line="240" w:lineRule="auto"/>
            </w:pPr>
            <w:r>
              <w:rPr>
                <w:sz w:val="14"/>
              </w:rPr>
              <w:t>P7</w:t>
            </w:r>
          </w:p>
        </w:tc>
        <w:tc>
          <w:tcPr>
            <w:tcW w:type="dxa" w:w="2592"/>
            <w:tcMar>
              <w:top w:w="38" w:type="dxa"/>
              <w:start w:w="50" w:type="dxa"/>
              <w:bottom w:w="38" w:type="dxa"/>
              <w:end w:w="50" w:type="dxa"/>
            </w:tcMar>
            <w:vAlign w:val="top"/>
            <w:shd w:fill="FAFAFA"/>
          </w:tcPr>
          <w:p>
            <w:pPr>
              <w:spacing w:after="0" w:before="0" w:line="240" w:lineRule="auto"/>
            </w:pPr>
            <w:r>
              <w:rPr>
                <w:sz w:val="14"/>
              </w:rPr>
              <w:t>Trust Engine / Memory</w:t>
            </w:r>
          </w:p>
        </w:tc>
        <w:tc>
          <w:tcPr>
            <w:tcW w:type="dxa" w:w="4464"/>
            <w:tcMar>
              <w:top w:w="38" w:type="dxa"/>
              <w:start w:w="50" w:type="dxa"/>
              <w:bottom w:w="38" w:type="dxa"/>
              <w:end w:w="50" w:type="dxa"/>
            </w:tcMar>
            <w:vAlign w:val="top"/>
            <w:shd w:fill="FAFAFA"/>
          </w:tcPr>
          <w:p>
            <w:pPr>
              <w:spacing w:after="0" w:before="0" w:line="240" w:lineRule="auto"/>
            </w:pPr>
            <w:r>
              <w:rPr>
                <w:sz w:val="14"/>
              </w:rPr>
              <w:t>Performance réelle, scores, feedback loop</w:t>
            </w:r>
          </w:p>
        </w:tc>
        <w:tc>
          <w:tcPr>
            <w:tcW w:type="dxa" w:w="1800"/>
            <w:tcMar>
              <w:top w:w="38" w:type="dxa"/>
              <w:start w:w="50" w:type="dxa"/>
              <w:bottom w:w="38" w:type="dxa"/>
              <w:end w:w="50" w:type="dxa"/>
            </w:tcMar>
            <w:vAlign w:val="top"/>
            <w:shd w:fill="FAFAFA"/>
          </w:tcPr>
          <w:p>
            <w:pPr>
              <w:spacing w:after="0" w:before="0" w:line="240" w:lineRule="auto"/>
            </w:pPr>
            <w:r>
              <w:rPr>
                <w:sz w:val="14"/>
              </w:rPr>
              <w:t>RECOMMANDÉ long terme</w:t>
            </w:r>
          </w:p>
        </w:tc>
      </w:tr>
    </w:tbl>
    <w:p>
      <w:pPr>
        <w:spacing w:after="0" w:before="0"/>
      </w:pPr>
    </w:p>
    <w:p>
      <w:pPr>
        <w:pStyle w:val="Heading2"/>
        <w:keepNext/>
        <w:keepNext/>
      </w:pPr>
      <w:r>
        <w:t>Critères d’acceptation essentiels</w:t>
      </w:r>
    </w:p>
    <w:p>
      <w:pPr>
        <w:pStyle w:val="ListBullet"/>
        <w:spacing w:after="44"/>
      </w:pPr>
      <w:r>
        <w:t>Un BuyerRequest validé peut lancer une recherche sans intervention humaine obligatoire.</w:t>
      </w:r>
    </w:p>
    <w:p>
      <w:pPr>
        <w:pStyle w:val="ListBullet"/>
        <w:spacing w:after="44"/>
      </w:pPr>
      <w:r>
        <w:t>KPI #1 explique pourquoi un fournisseur passe ou échoue.</w:t>
      </w:r>
    </w:p>
    <w:p>
      <w:pPr>
        <w:pStyle w:val="ListBullet"/>
        <w:spacing w:after="44"/>
      </w:pPr>
      <w:r>
        <w:t>Les RFQ produisent des Offer records structurés et versionnés.</w:t>
      </w:r>
    </w:p>
    <w:p>
      <w:pPr>
        <w:pStyle w:val="ListBullet"/>
        <w:spacing w:after="44"/>
      </w:pPr>
      <w:r>
        <w:t>Le Top 5 initial reste interne et chaque offre peut recevoir plusieurs enrichissements partenaires.</w:t>
      </w:r>
    </w:p>
    <w:p>
      <w:pPr>
        <w:pStyle w:val="ListBullet"/>
        <w:spacing w:after="44"/>
      </w:pPr>
      <w:r>
        <w:t>KPI #2 peut reclasser les offres tout en conservant l’ancien ordre pour audit.</w:t>
      </w:r>
    </w:p>
    <w:p>
      <w:pPr>
        <w:pStyle w:val="ListBullet"/>
        <w:spacing w:after="44"/>
      </w:pPr>
      <w:r>
        <w:t>Le Decision Pack sépare données estimées et confirmées et explique le classement.</w:t>
      </w:r>
    </w:p>
    <w:p>
      <w:pPr>
        <w:pStyle w:val="ListBullet"/>
        <w:spacing w:after="44"/>
      </w:pPr>
      <w:r>
        <w:t>Le choix final du client est enregistré indépendamment de la recommandation OSI.</w:t>
      </w:r>
    </w:p>
    <w:p>
      <w:pPr>
        <w:pStyle w:val="ListBullet"/>
        <w:spacing w:after="44"/>
      </w:pPr>
      <w:r>
        <w:t>La commande validée crée un Deal sans perdre l’historique de la demande et des offres.</w:t>
      </w:r>
    </w:p>
    <w:p>
      <w:pPr>
        <w:pStyle w:val="ListBullet"/>
        <w:spacing w:after="44"/>
      </w:pPr>
      <w:r>
        <w:t>Globex peut demander des documents sans accès général au compte client.</w:t>
      </w:r>
    </w:p>
    <w:p>
      <w:pPr>
        <w:pStyle w:val="ListBullet"/>
        <w:spacing w:after="44"/>
      </w:pPr>
      <w:r>
        <w:t>Les honoraires OSI sont intégrés au règlement Globex, mais restent séparés comptablement du montant fournisseur et du revenue share partenaire.</w:t>
      </w:r>
    </w:p>
    <w:p>
      <w:pPr>
        <w:pStyle w:val="Heading2"/>
        <w:keepNext/>
        <w:keepNext/>
      </w:pPr>
      <w:r>
        <w:t>Décisions ouvertes à trancher</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4680"/>
            <w:shd w:fill="111111"/>
            <w:tcMar>
              <w:top w:w="28" w:type="dxa"/>
              <w:start w:w="45" w:type="dxa"/>
              <w:bottom w:w="28" w:type="dxa"/>
              <w:end w:w="45" w:type="dxa"/>
            </w:tcMar>
          </w:tcPr>
          <w:p>
            <w:pPr>
              <w:spacing w:after="0" w:before="0" w:line="240" w:lineRule="auto"/>
            </w:pPr>
            <w:r>
              <w:rPr>
                <w:b/>
                <w:color w:val="FFFFFF"/>
                <w:sz w:val="14"/>
              </w:rPr>
              <w:t>Question</w:t>
            </w:r>
          </w:p>
        </w:tc>
        <w:tc>
          <w:tcPr>
            <w:tcW w:type="dxa" w:w="2160"/>
            <w:shd w:fill="111111"/>
            <w:tcMar>
              <w:top w:w="28" w:type="dxa"/>
              <w:start w:w="45" w:type="dxa"/>
              <w:bottom w:w="28" w:type="dxa"/>
              <w:end w:w="45" w:type="dxa"/>
            </w:tcMar>
          </w:tcPr>
          <w:p>
            <w:pPr>
              <w:spacing w:after="0" w:before="0" w:line="240" w:lineRule="auto"/>
            </w:pPr>
            <w:r>
              <w:rPr>
                <w:b/>
                <w:color w:val="FFFFFF"/>
                <w:sz w:val="14"/>
              </w:rPr>
              <w:t>Propriétaire</w:t>
            </w:r>
          </w:p>
        </w:tc>
        <w:tc>
          <w:tcPr>
            <w:tcW w:type="dxa" w:w="2952"/>
            <w:shd w:fill="111111"/>
            <w:tcMar>
              <w:top w:w="28" w:type="dxa"/>
              <w:start w:w="45" w:type="dxa"/>
              <w:bottom w:w="28" w:type="dxa"/>
              <w:end w:w="45" w:type="dxa"/>
            </w:tcMar>
          </w:tcPr>
          <w:p>
            <w:pPr>
              <w:spacing w:after="0" w:before="0" w:line="240" w:lineRule="auto"/>
            </w:pPr>
            <w:r>
              <w:rPr>
                <w:b/>
                <w:color w:val="FFFFFF"/>
                <w:sz w:val="14"/>
              </w:rPr>
              <w:t>Décision attendue</w:t>
            </w:r>
          </w:p>
        </w:tc>
      </w:tr>
      <w:tr>
        <w:trPr>
          <w:cantSplit/>
        </w:trPr>
        <w:tc>
          <w:tcPr>
            <w:tcW w:type="dxa" w:w="4680"/>
            <w:tcMar>
              <w:top w:w="28" w:type="dxa"/>
              <w:start w:w="45" w:type="dxa"/>
              <w:bottom w:w="28" w:type="dxa"/>
              <w:end w:w="45" w:type="dxa"/>
            </w:tcMar>
            <w:vAlign w:val="top"/>
          </w:tcPr>
          <w:p>
            <w:pPr>
              <w:spacing w:after="0" w:before="0" w:line="240" w:lineRule="auto"/>
            </w:pPr>
            <w:r>
              <w:rPr>
                <w:sz w:val="14"/>
              </w:rPr>
              <w:t>Poids et seuils KPI #1 / #2</w:t>
            </w:r>
          </w:p>
        </w:tc>
        <w:tc>
          <w:tcPr>
            <w:tcW w:type="dxa" w:w="2160"/>
            <w:tcMar>
              <w:top w:w="28" w:type="dxa"/>
              <w:start w:w="45" w:type="dxa"/>
              <w:bottom w:w="28" w:type="dxa"/>
              <w:end w:w="45" w:type="dxa"/>
            </w:tcMar>
            <w:vAlign w:val="top"/>
          </w:tcPr>
          <w:p>
            <w:pPr>
              <w:spacing w:after="0" w:before="0" w:line="240" w:lineRule="auto"/>
            </w:pPr>
            <w:r>
              <w:rPr>
                <w:sz w:val="14"/>
              </w:rPr>
              <w:t>Henrik + Yves</w:t>
            </w:r>
          </w:p>
        </w:tc>
        <w:tc>
          <w:tcPr>
            <w:tcW w:type="dxa" w:w="2952"/>
            <w:tcMar>
              <w:top w:w="28" w:type="dxa"/>
              <w:start w:w="45" w:type="dxa"/>
              <w:bottom w:w="28" w:type="dxa"/>
              <w:end w:w="45" w:type="dxa"/>
            </w:tcMar>
            <w:vAlign w:val="top"/>
          </w:tcPr>
          <w:p>
            <w:pPr>
              <w:spacing w:after="0" w:before="0" w:line="240" w:lineRule="auto"/>
            </w:pPr>
            <w:r>
              <w:rPr>
                <w:sz w:val="14"/>
              </w:rPr>
              <w:t>Grille configurable par catégorie et niveau de risque.</w:t>
            </w:r>
          </w:p>
        </w:tc>
      </w:tr>
      <w:tr>
        <w:trPr>
          <w:cantSplit/>
        </w:trPr>
        <w:tc>
          <w:tcPr>
            <w:tcW w:type="dxa" w:w="4680"/>
            <w:tcMar>
              <w:top w:w="28" w:type="dxa"/>
              <w:start w:w="45" w:type="dxa"/>
              <w:bottom w:w="28" w:type="dxa"/>
              <w:end w:w="45" w:type="dxa"/>
            </w:tcMar>
            <w:vAlign w:val="top"/>
            <w:shd w:fill="FAFAFA"/>
          </w:tcPr>
          <w:p>
            <w:pPr>
              <w:spacing w:after="0" w:before="0" w:line="240" w:lineRule="auto"/>
            </w:pPr>
            <w:r>
              <w:rPr>
                <w:sz w:val="14"/>
              </w:rPr>
              <w:t>Nombre de fournisseurs à solliciter pour obtenir 5 offres solides</w:t>
            </w:r>
          </w:p>
        </w:tc>
        <w:tc>
          <w:tcPr>
            <w:tcW w:type="dxa" w:w="2160"/>
            <w:tcMar>
              <w:top w:w="28" w:type="dxa"/>
              <w:start w:w="45" w:type="dxa"/>
              <w:bottom w:w="28" w:type="dxa"/>
              <w:end w:w="45" w:type="dxa"/>
            </w:tcMar>
            <w:vAlign w:val="top"/>
            <w:shd w:fill="FAFAFA"/>
          </w:tcPr>
          <w:p>
            <w:pPr>
              <w:spacing w:after="0" w:before="0" w:line="240" w:lineRule="auto"/>
            </w:pPr>
            <w:r>
              <w:rPr>
                <w:sz w:val="14"/>
              </w:rPr>
              <w:t>Henrik + Ops</w:t>
            </w:r>
          </w:p>
        </w:tc>
        <w:tc>
          <w:tcPr>
            <w:tcW w:type="dxa" w:w="2952"/>
            <w:tcMar>
              <w:top w:w="28" w:type="dxa"/>
              <w:start w:w="45" w:type="dxa"/>
              <w:bottom w:w="28" w:type="dxa"/>
              <w:end w:w="45" w:type="dxa"/>
            </w:tcMar>
            <w:vAlign w:val="top"/>
            <w:shd w:fill="FAFAFA"/>
          </w:tcPr>
          <w:p>
            <w:pPr>
              <w:spacing w:after="0" w:before="0" w:line="240" w:lineRule="auto"/>
            </w:pPr>
            <w:r>
              <w:rPr>
                <w:sz w:val="14"/>
              </w:rPr>
              <w:t>Règle par catégorie / disponibilité.</w:t>
            </w:r>
          </w:p>
        </w:tc>
      </w:tr>
      <w:tr>
        <w:trPr>
          <w:cantSplit/>
        </w:trPr>
        <w:tc>
          <w:tcPr>
            <w:tcW w:type="dxa" w:w="4680"/>
            <w:tcMar>
              <w:top w:w="28" w:type="dxa"/>
              <w:start w:w="45" w:type="dxa"/>
              <w:bottom w:w="28" w:type="dxa"/>
              <w:end w:w="45" w:type="dxa"/>
            </w:tcMar>
            <w:vAlign w:val="top"/>
          </w:tcPr>
          <w:p>
            <w:pPr>
              <w:spacing w:after="0" w:before="0" w:line="240" w:lineRule="auto"/>
            </w:pPr>
            <w:r>
              <w:rPr>
                <w:sz w:val="14"/>
              </w:rPr>
              <w:t>Partenaires obligatoires avant Top 5 final</w:t>
            </w:r>
          </w:p>
        </w:tc>
        <w:tc>
          <w:tcPr>
            <w:tcW w:type="dxa" w:w="2160"/>
            <w:tcMar>
              <w:top w:w="28" w:type="dxa"/>
              <w:start w:w="45" w:type="dxa"/>
              <w:bottom w:w="28" w:type="dxa"/>
              <w:end w:w="45" w:type="dxa"/>
            </w:tcMar>
            <w:vAlign w:val="top"/>
          </w:tcPr>
          <w:p>
            <w:pPr>
              <w:spacing w:after="0" w:before="0" w:line="240" w:lineRule="auto"/>
            </w:pPr>
            <w:r>
              <w:rPr>
                <w:sz w:val="14"/>
              </w:rPr>
              <w:t>Henrik</w:t>
            </w:r>
          </w:p>
        </w:tc>
        <w:tc>
          <w:tcPr>
            <w:tcW w:type="dxa" w:w="2952"/>
            <w:tcMar>
              <w:top w:w="28" w:type="dxa"/>
              <w:start w:w="45" w:type="dxa"/>
              <w:bottom w:w="28" w:type="dxa"/>
              <w:end w:w="45" w:type="dxa"/>
            </w:tcMar>
            <w:vAlign w:val="top"/>
          </w:tcPr>
          <w:p>
            <w:pPr>
              <w:spacing w:after="0" w:before="0" w:line="240" w:lineRule="auto"/>
            </w:pPr>
            <w:r>
              <w:rPr>
                <w:sz w:val="14"/>
              </w:rPr>
              <w:t>Globex / transport systématiques? SGS selon risque?</w:t>
            </w:r>
          </w:p>
        </w:tc>
      </w:tr>
      <w:tr>
        <w:trPr>
          <w:cantSplit/>
        </w:trPr>
        <w:tc>
          <w:tcPr>
            <w:tcW w:type="dxa" w:w="4680"/>
            <w:tcMar>
              <w:top w:w="28" w:type="dxa"/>
              <w:start w:w="45" w:type="dxa"/>
              <w:bottom w:w="28" w:type="dxa"/>
              <w:end w:w="45" w:type="dxa"/>
            </w:tcMar>
            <w:vAlign w:val="top"/>
            <w:shd w:fill="FAFAFA"/>
          </w:tcPr>
          <w:p>
            <w:pPr>
              <w:spacing w:after="0" w:before="0" w:line="240" w:lineRule="auto"/>
            </w:pPr>
            <w:r>
              <w:rPr>
                <w:sz w:val="14"/>
              </w:rPr>
              <w:t>API / webhooks Globex</w:t>
            </w:r>
          </w:p>
        </w:tc>
        <w:tc>
          <w:tcPr>
            <w:tcW w:type="dxa" w:w="2160"/>
            <w:tcMar>
              <w:top w:w="28" w:type="dxa"/>
              <w:start w:w="45" w:type="dxa"/>
              <w:bottom w:w="28" w:type="dxa"/>
              <w:end w:w="45" w:type="dxa"/>
            </w:tcMar>
            <w:vAlign w:val="top"/>
            <w:shd w:fill="FAFAFA"/>
          </w:tcPr>
          <w:p>
            <w:pPr>
              <w:spacing w:after="0" w:before="0" w:line="240" w:lineRule="auto"/>
            </w:pPr>
            <w:r>
              <w:rPr>
                <w:sz w:val="14"/>
              </w:rPr>
              <w:t>Yves + Globex</w:t>
            </w:r>
          </w:p>
        </w:tc>
        <w:tc>
          <w:tcPr>
            <w:tcW w:type="dxa" w:w="2952"/>
            <w:tcMar>
              <w:top w:w="28" w:type="dxa"/>
              <w:start w:w="45" w:type="dxa"/>
              <w:bottom w:w="28" w:type="dxa"/>
              <w:end w:w="45" w:type="dxa"/>
            </w:tcMar>
            <w:vAlign w:val="top"/>
            <w:shd w:fill="FAFAFA"/>
          </w:tcPr>
          <w:p>
            <w:pPr>
              <w:spacing w:after="0" w:before="0" w:line="240" w:lineRule="auto"/>
            </w:pPr>
            <w:r>
              <w:rPr>
                <w:sz w:val="14"/>
              </w:rPr>
              <w:t>Capacités techniques documentées.</w:t>
            </w:r>
          </w:p>
        </w:tc>
      </w:tr>
      <w:tr>
        <w:trPr>
          <w:cantSplit/>
        </w:trPr>
        <w:tc>
          <w:tcPr>
            <w:tcW w:type="dxa" w:w="4680"/>
            <w:tcMar>
              <w:top w:w="28" w:type="dxa"/>
              <w:start w:w="45" w:type="dxa"/>
              <w:bottom w:w="28" w:type="dxa"/>
              <w:end w:w="45" w:type="dxa"/>
            </w:tcMar>
            <w:vAlign w:val="top"/>
          </w:tcPr>
          <w:p>
            <w:pPr>
              <w:spacing w:after="0" w:before="0" w:line="240" w:lineRule="auto"/>
            </w:pPr>
            <w:r>
              <w:rPr>
                <w:sz w:val="14"/>
              </w:rPr>
              <w:t>Taux / assiette revenue share Globex</w:t>
            </w:r>
          </w:p>
        </w:tc>
        <w:tc>
          <w:tcPr>
            <w:tcW w:type="dxa" w:w="2160"/>
            <w:tcMar>
              <w:top w:w="28" w:type="dxa"/>
              <w:start w:w="45" w:type="dxa"/>
              <w:bottom w:w="28" w:type="dxa"/>
              <w:end w:w="45" w:type="dxa"/>
            </w:tcMar>
            <w:vAlign w:val="top"/>
          </w:tcPr>
          <w:p>
            <w:pPr>
              <w:spacing w:after="0" w:before="0" w:line="240" w:lineRule="auto"/>
            </w:pPr>
            <w:r>
              <w:rPr>
                <w:sz w:val="14"/>
              </w:rPr>
              <w:t>Henrik + Globex</w:t>
            </w:r>
          </w:p>
        </w:tc>
        <w:tc>
          <w:tcPr>
            <w:tcW w:type="dxa" w:w="2952"/>
            <w:tcMar>
              <w:top w:w="28" w:type="dxa"/>
              <w:start w:w="45" w:type="dxa"/>
              <w:bottom w:w="28" w:type="dxa"/>
              <w:end w:w="45" w:type="dxa"/>
            </w:tcMar>
            <w:vAlign w:val="top"/>
          </w:tcPr>
          <w:p>
            <w:pPr>
              <w:spacing w:after="0" w:before="0" w:line="240" w:lineRule="auto"/>
            </w:pPr>
            <w:r>
              <w:rPr>
                <w:sz w:val="14"/>
              </w:rPr>
              <w:t>Entente commerciale.</w:t>
            </w:r>
          </w:p>
        </w:tc>
      </w:tr>
      <w:tr>
        <w:trPr>
          <w:cantSplit/>
        </w:trPr>
        <w:tc>
          <w:tcPr>
            <w:tcW w:type="dxa" w:w="4680"/>
            <w:tcMar>
              <w:top w:w="28" w:type="dxa"/>
              <w:start w:w="45" w:type="dxa"/>
              <w:bottom w:w="28" w:type="dxa"/>
              <w:end w:w="45" w:type="dxa"/>
            </w:tcMar>
            <w:vAlign w:val="top"/>
            <w:shd w:fill="FAFAFA"/>
          </w:tcPr>
          <w:p>
            <w:pPr>
              <w:spacing w:after="0" w:before="0" w:line="240" w:lineRule="auto"/>
            </w:pPr>
            <w:r>
              <w:rPr>
                <w:sz w:val="14"/>
              </w:rPr>
              <w:t>Nom et statut juridique exact d’OSI dans les contrats</w:t>
            </w:r>
          </w:p>
        </w:tc>
        <w:tc>
          <w:tcPr>
            <w:tcW w:type="dxa" w:w="2160"/>
            <w:tcMar>
              <w:top w:w="28" w:type="dxa"/>
              <w:start w:w="45" w:type="dxa"/>
              <w:bottom w:w="28" w:type="dxa"/>
              <w:end w:w="45" w:type="dxa"/>
            </w:tcMar>
            <w:vAlign w:val="top"/>
            <w:shd w:fill="FAFAFA"/>
          </w:tcPr>
          <w:p>
            <w:pPr>
              <w:spacing w:after="0" w:before="0" w:line="240" w:lineRule="auto"/>
            </w:pPr>
            <w:r>
              <w:rPr>
                <w:sz w:val="14"/>
              </w:rPr>
              <w:t>Zack + Henrik</w:t>
            </w:r>
          </w:p>
        </w:tc>
        <w:tc>
          <w:tcPr>
            <w:tcW w:type="dxa" w:w="2952"/>
            <w:tcMar>
              <w:top w:w="28" w:type="dxa"/>
              <w:start w:w="45" w:type="dxa"/>
              <w:bottom w:w="28" w:type="dxa"/>
              <w:end w:w="45" w:type="dxa"/>
            </w:tcMar>
            <w:vAlign w:val="top"/>
            <w:shd w:fill="FAFAFA"/>
          </w:tcPr>
          <w:p>
            <w:pPr>
              <w:spacing w:after="0" w:before="0" w:line="240" w:lineRule="auto"/>
            </w:pPr>
            <w:r>
              <w:rPr>
                <w:sz w:val="14"/>
              </w:rPr>
              <w:t>Entité, nom d’usage et signature.</w:t>
            </w:r>
          </w:p>
        </w:tc>
      </w:tr>
      <w:tr>
        <w:trPr>
          <w:cantSplit/>
        </w:trPr>
        <w:tc>
          <w:tcPr>
            <w:tcW w:type="dxa" w:w="4680"/>
            <w:tcMar>
              <w:top w:w="28" w:type="dxa"/>
              <w:start w:w="45" w:type="dxa"/>
              <w:bottom w:w="28" w:type="dxa"/>
              <w:end w:w="45" w:type="dxa"/>
            </w:tcMar>
            <w:vAlign w:val="top"/>
          </w:tcPr>
          <w:p>
            <w:pPr>
              <w:spacing w:after="0" w:before="0" w:line="240" w:lineRule="auto"/>
            </w:pPr>
            <w:r>
              <w:rPr>
                <w:sz w:val="14"/>
              </w:rPr>
              <w:t>Rôle financier réglementaire OSI</w:t>
            </w:r>
          </w:p>
        </w:tc>
        <w:tc>
          <w:tcPr>
            <w:tcW w:type="dxa" w:w="2160"/>
            <w:tcMar>
              <w:top w:w="28" w:type="dxa"/>
              <w:start w:w="45" w:type="dxa"/>
              <w:bottom w:w="28" w:type="dxa"/>
              <w:end w:w="45" w:type="dxa"/>
            </w:tcMar>
            <w:vAlign w:val="top"/>
          </w:tcPr>
          <w:p>
            <w:pPr>
              <w:spacing w:after="0" w:before="0" w:line="240" w:lineRule="auto"/>
            </w:pPr>
            <w:r>
              <w:rPr>
                <w:sz w:val="14"/>
              </w:rPr>
              <w:t>Zack</w:t>
            </w:r>
          </w:p>
        </w:tc>
        <w:tc>
          <w:tcPr>
            <w:tcW w:type="dxa" w:w="2952"/>
            <w:tcMar>
              <w:top w:w="28" w:type="dxa"/>
              <w:start w:w="45" w:type="dxa"/>
              <w:bottom w:w="28" w:type="dxa"/>
              <w:end w:w="45" w:type="dxa"/>
            </w:tcMar>
            <w:vAlign w:val="top"/>
          </w:tcPr>
          <w:p>
            <w:pPr>
              <w:spacing w:after="0" w:before="0" w:line="240" w:lineRule="auto"/>
            </w:pPr>
            <w:r>
              <w:rPr>
                <w:sz w:val="14"/>
              </w:rPr>
              <w:t>Opinion et garde-fous.</w:t>
            </w:r>
          </w:p>
        </w:tc>
      </w:tr>
      <w:tr>
        <w:trPr>
          <w:cantSplit/>
        </w:trPr>
        <w:tc>
          <w:tcPr>
            <w:tcW w:type="dxa" w:w="4680"/>
            <w:tcMar>
              <w:top w:w="28" w:type="dxa"/>
              <w:start w:w="45" w:type="dxa"/>
              <w:bottom w:w="28" w:type="dxa"/>
              <w:end w:w="45" w:type="dxa"/>
            </w:tcMar>
            <w:vAlign w:val="top"/>
            <w:shd w:fill="FAFAFA"/>
          </w:tcPr>
          <w:p>
            <w:pPr>
              <w:spacing w:after="0" w:before="0" w:line="240" w:lineRule="auto"/>
            </w:pPr>
            <w:r>
              <w:rPr>
                <w:sz w:val="14"/>
              </w:rPr>
              <w:t>Politique Trust Score et contestation</w:t>
            </w:r>
          </w:p>
        </w:tc>
        <w:tc>
          <w:tcPr>
            <w:tcW w:type="dxa" w:w="2160"/>
            <w:tcMar>
              <w:top w:w="28" w:type="dxa"/>
              <w:start w:w="45" w:type="dxa"/>
              <w:bottom w:w="28" w:type="dxa"/>
              <w:end w:w="45" w:type="dxa"/>
            </w:tcMar>
            <w:vAlign w:val="top"/>
            <w:shd w:fill="FAFAFA"/>
          </w:tcPr>
          <w:p>
            <w:pPr>
              <w:spacing w:after="0" w:before="0" w:line="240" w:lineRule="auto"/>
            </w:pPr>
            <w:r>
              <w:rPr>
                <w:sz w:val="14"/>
              </w:rPr>
              <w:t>Zack + Produit</w:t>
            </w:r>
          </w:p>
        </w:tc>
        <w:tc>
          <w:tcPr>
            <w:tcW w:type="dxa" w:w="2952"/>
            <w:tcMar>
              <w:top w:w="28" w:type="dxa"/>
              <w:start w:w="45" w:type="dxa"/>
              <w:bottom w:w="28" w:type="dxa"/>
              <w:end w:w="45" w:type="dxa"/>
            </w:tcMar>
            <w:vAlign w:val="top"/>
            <w:shd w:fill="FAFAFA"/>
          </w:tcPr>
          <w:p>
            <w:pPr>
              <w:spacing w:after="0" w:before="0" w:line="240" w:lineRule="auto"/>
            </w:pPr>
            <w:r>
              <w:rPr>
                <w:sz w:val="14"/>
              </w:rPr>
              <w:t>Règles, preuves et wording.</w:t>
            </w:r>
          </w:p>
        </w:tc>
      </w:tr>
      <w:tr>
        <w:trPr>
          <w:cantSplit/>
        </w:trPr>
        <w:tc>
          <w:tcPr>
            <w:tcW w:type="dxa" w:w="4680"/>
            <w:tcMar>
              <w:top w:w="28" w:type="dxa"/>
              <w:start w:w="45" w:type="dxa"/>
              <w:bottom w:w="28" w:type="dxa"/>
              <w:end w:w="45" w:type="dxa"/>
            </w:tcMar>
            <w:vAlign w:val="top"/>
          </w:tcPr>
          <w:p>
            <w:pPr>
              <w:spacing w:after="0" w:before="0" w:line="240" w:lineRule="auto"/>
            </w:pPr>
            <w:r>
              <w:rPr>
                <w:sz w:val="14"/>
              </w:rPr>
              <w:t>Importer of Record par défaut</w:t>
            </w:r>
          </w:p>
        </w:tc>
        <w:tc>
          <w:tcPr>
            <w:tcW w:type="dxa" w:w="2160"/>
            <w:tcMar>
              <w:top w:w="28" w:type="dxa"/>
              <w:start w:w="45" w:type="dxa"/>
              <w:bottom w:w="28" w:type="dxa"/>
              <w:end w:w="45" w:type="dxa"/>
            </w:tcMar>
            <w:vAlign w:val="top"/>
          </w:tcPr>
          <w:p>
            <w:pPr>
              <w:spacing w:after="0" w:before="0" w:line="240" w:lineRule="auto"/>
            </w:pPr>
            <w:r>
              <w:rPr>
                <w:sz w:val="14"/>
              </w:rPr>
              <w:t>Zack + Ops</w:t>
            </w:r>
          </w:p>
        </w:tc>
        <w:tc>
          <w:tcPr>
            <w:tcW w:type="dxa" w:w="2952"/>
            <w:tcMar>
              <w:top w:w="28" w:type="dxa"/>
              <w:start w:w="45" w:type="dxa"/>
              <w:bottom w:w="28" w:type="dxa"/>
              <w:end w:w="45" w:type="dxa"/>
            </w:tcMar>
            <w:vAlign w:val="top"/>
          </w:tcPr>
          <w:p>
            <w:pPr>
              <w:spacing w:after="0" w:before="0" w:line="240" w:lineRule="auto"/>
            </w:pPr>
            <w:r>
              <w:rPr>
                <w:sz w:val="14"/>
              </w:rPr>
              <w:t>Responsabilité contractuelle.</w:t>
            </w:r>
          </w:p>
        </w:tc>
      </w:tr>
    </w:tbl>
    <w:p>
      <w:pPr>
        <w:spacing w:after="0" w:before="0"/>
      </w:pPr>
    </w:p>
    <w:p>
      <w:pPr>
        <w:pStyle w:val="Heading1"/>
        <w:keepNext/>
        <w:keepNext/>
      </w:pPr>
      <w:r>
        <w:t>Annexe A — Statuts de référence</w:t>
      </w:r>
    </w:p>
    <w:p>
      <w:pPr>
        <w:pStyle w:val="SectionSubtitle"/>
      </w:pPr>
      <w:r>
        <w:t>Le détail des statuts est placé uniquement ici; le corps du document utilise les grandes phases pour éviter les répétitions.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016"/>
            <w:shd w:fill="111111"/>
            <w:tcMar>
              <w:top w:w="38" w:type="dxa"/>
              <w:start w:w="50" w:type="dxa"/>
              <w:bottom w:w="38" w:type="dxa"/>
              <w:end w:w="50" w:type="dxa"/>
            </w:tcMar>
          </w:tcPr>
          <w:p>
            <w:pPr>
              <w:spacing w:after="0" w:before="0" w:line="240" w:lineRule="auto"/>
            </w:pPr>
            <w:r>
              <w:rPr>
                <w:b/>
                <w:color w:val="FFFFFF"/>
                <w:sz w:val="14"/>
              </w:rPr>
              <w:t>Objet</w:t>
            </w:r>
          </w:p>
        </w:tc>
        <w:tc>
          <w:tcPr>
            <w:tcW w:type="dxa" w:w="7488"/>
            <w:shd w:fill="111111"/>
            <w:tcMar>
              <w:top w:w="38" w:type="dxa"/>
              <w:start w:w="50" w:type="dxa"/>
              <w:bottom w:w="38" w:type="dxa"/>
              <w:end w:w="50" w:type="dxa"/>
            </w:tcMar>
          </w:tcPr>
          <w:p>
            <w:pPr>
              <w:spacing w:after="0" w:before="0" w:line="240" w:lineRule="auto"/>
            </w:pPr>
            <w:r>
              <w:rPr>
                <w:b/>
                <w:color w:val="FFFFFF"/>
                <w:sz w:val="14"/>
              </w:rPr>
              <w:t>Statuts de référence</w:t>
            </w:r>
          </w:p>
        </w:tc>
      </w:tr>
      <w:tr>
        <w:trPr>
          <w:cantSplit/>
        </w:trPr>
        <w:tc>
          <w:tcPr>
            <w:tcW w:type="dxa" w:w="2016"/>
            <w:tcMar>
              <w:top w:w="38" w:type="dxa"/>
              <w:start w:w="50" w:type="dxa"/>
              <w:bottom w:w="38" w:type="dxa"/>
              <w:end w:w="50" w:type="dxa"/>
            </w:tcMar>
            <w:vAlign w:val="top"/>
          </w:tcPr>
          <w:p>
            <w:pPr>
              <w:spacing w:after="0" w:before="0" w:line="240" w:lineRule="auto"/>
            </w:pPr>
            <w:r>
              <w:rPr>
                <w:sz w:val="14"/>
              </w:rPr>
              <w:t>BuyerRequest</w:t>
            </w:r>
          </w:p>
        </w:tc>
        <w:tc>
          <w:tcPr>
            <w:tcW w:type="dxa" w:w="7488"/>
            <w:tcMar>
              <w:top w:w="38" w:type="dxa"/>
              <w:start w:w="50" w:type="dxa"/>
              <w:bottom w:w="38" w:type="dxa"/>
              <w:end w:w="50" w:type="dxa"/>
            </w:tcMar>
            <w:vAlign w:val="top"/>
          </w:tcPr>
          <w:p>
            <w:pPr>
              <w:spacing w:after="0" w:before="0" w:line="240" w:lineRule="auto"/>
            </w:pPr>
            <w:r>
              <w:rPr>
                <w:sz w:val="14"/>
              </w:rPr>
              <w:t>DRAFT · CLARIFYING · AWAITING_CLIENT_VALIDATION · VALIDATED · SEARCHING · KPI1_COMPLETE · RFQ_OPEN · TOP5_INITIAL · PARTNER_ENRICHMENT · KPI2_COMPLETE · DECISION_READY · CLIENT_SELECTED · ORDER_VALIDATED · CONVERTED_TO_DEAL · CANCELLED</w:t>
            </w:r>
          </w:p>
        </w:tc>
      </w:tr>
      <w:tr>
        <w:trPr>
          <w:cantSplit/>
        </w:trPr>
        <w:tc>
          <w:tcPr>
            <w:tcW w:type="dxa" w:w="2016"/>
            <w:tcMar>
              <w:top w:w="38" w:type="dxa"/>
              <w:start w:w="50" w:type="dxa"/>
              <w:bottom w:w="38" w:type="dxa"/>
              <w:end w:w="50" w:type="dxa"/>
            </w:tcMar>
            <w:vAlign w:val="top"/>
            <w:shd w:fill="FAFAFA"/>
          </w:tcPr>
          <w:p>
            <w:pPr>
              <w:spacing w:after="0" w:before="0" w:line="240" w:lineRule="auto"/>
            </w:pPr>
            <w:r>
              <w:rPr>
                <w:sz w:val="14"/>
              </w:rPr>
              <w:t>Deal</w:t>
            </w:r>
          </w:p>
        </w:tc>
        <w:tc>
          <w:tcPr>
            <w:tcW w:type="dxa" w:w="7488"/>
            <w:tcMar>
              <w:top w:w="38" w:type="dxa"/>
              <w:start w:w="50" w:type="dxa"/>
              <w:bottom w:w="38" w:type="dxa"/>
              <w:end w:w="50" w:type="dxa"/>
            </w:tcMar>
            <w:vAlign w:val="top"/>
            <w:shd w:fill="FAFAFA"/>
          </w:tcPr>
          <w:p>
            <w:pPr>
              <w:spacing w:after="0" w:before="0" w:line="240" w:lineRule="auto"/>
            </w:pPr>
            <w:r>
              <w:rPr>
                <w:sz w:val="14"/>
              </w:rPr>
              <w:t>OPEN · CONTRACTING · AWAITING_DOCUMENTS · FINANCIAL_SETUP · PRODUCTION · INSPECTION · READY_TO_SHIP · IN_TRANSIT · CUSTOMS · DELIVERED · DISPUTE · CLOSED · CANCELLED</w:t>
            </w:r>
          </w:p>
        </w:tc>
      </w:tr>
      <w:tr>
        <w:trPr>
          <w:cantSplit/>
        </w:trPr>
        <w:tc>
          <w:tcPr>
            <w:tcW w:type="dxa" w:w="2016"/>
            <w:tcMar>
              <w:top w:w="38" w:type="dxa"/>
              <w:start w:w="50" w:type="dxa"/>
              <w:bottom w:w="38" w:type="dxa"/>
              <w:end w:w="50" w:type="dxa"/>
            </w:tcMar>
            <w:vAlign w:val="top"/>
          </w:tcPr>
          <w:p>
            <w:pPr>
              <w:spacing w:after="0" w:before="0" w:line="240" w:lineRule="auto"/>
            </w:pPr>
            <w:r>
              <w:rPr>
                <w:sz w:val="14"/>
              </w:rPr>
              <w:t>PartnerCase</w:t>
            </w:r>
          </w:p>
        </w:tc>
        <w:tc>
          <w:tcPr>
            <w:tcW w:type="dxa" w:w="7488"/>
            <w:tcMar>
              <w:top w:w="38" w:type="dxa"/>
              <w:start w:w="50" w:type="dxa"/>
              <w:bottom w:w="38" w:type="dxa"/>
              <w:end w:w="50" w:type="dxa"/>
            </w:tcMar>
            <w:vAlign w:val="top"/>
          </w:tcPr>
          <w:p>
            <w:pPr>
              <w:spacing w:after="0" w:before="0" w:line="240" w:lineRule="auto"/>
            </w:pPr>
            <w:r>
              <w:rPr>
                <w:sz w:val="14"/>
              </w:rPr>
              <w:t>CREATED · SENT · ACTION_REQUIRED · DOCUMENTS_REQUESTED · IN_REVIEW · APPROVED · QUOTE_RECEIVED · ACTIVE · COMPLETED · REJECTED · CANCELLED</w:t>
            </w:r>
          </w:p>
        </w:tc>
      </w:tr>
    </w:tbl>
    <w:p>
      <w:pPr>
        <w:spacing w:after="0" w:before="0"/>
      </w:pPr>
    </w:p>
    <w:p>
      <w:pPr>
        <w:pStyle w:val="Heading1"/>
        <w:keepNext/>
        <w:keepNext/>
      </w:pPr>
      <w:r>
        <w:t>Annexe B — Sources internes utilisées</w:t>
      </w:r>
    </w:p>
    <w:p>
      <w:pPr>
        <w:pStyle w:val="SectionSubtitle"/>
      </w:pPr>
      <w:r>
        <w:t>Le document consolide uniquement les décisions et documents du projet OSI; les recommandations restent identifiées comme telles.</w:t>
      </w:r>
    </w:p>
    <w:p>
      <w:pPr>
        <w:pStyle w:val="ListBullet"/>
        <w:spacing w:after="44"/>
      </w:pPr>
      <w:r>
        <w:t>Plan_MVP_v1.pdf — noyau buyer-first, recherche/scoring, validation humaine et plan MVP.</w:t>
      </w:r>
    </w:p>
    <w:p>
      <w:pPr>
        <w:pStyle w:val="ListBullet"/>
        <w:spacing w:after="44"/>
      </w:pPr>
      <w:r>
        <w:t>OSI Request to Transaction.pdf — parcours demande → Top N → RFQ → offre → choix → contrats → exécution.</w:t>
      </w:r>
    </w:p>
    <w:p>
      <w:pPr>
        <w:pStyle w:val="ListBullet"/>
        <w:spacing w:after="44"/>
      </w:pPr>
      <w:r>
        <w:t>Notes “Oversea supplier intelligent” du projet — vision, Trust Engine, Supplier Passport, partenaires, modèle économique, rôle IA/humain et mémoire.</w:t>
      </w:r>
    </w:p>
    <w:p>
      <w:pPr>
        <w:pStyle w:val="ListBullet"/>
        <w:spacing w:after="44"/>
      </w:pPr>
      <w:r>
        <w:t>Discussions Oversea Group — Globex 2000, portail partenaire, flux de documents, intégration des honoraires OSI au règlement, revenue share partenaire, intégration fournisseurs et ordre 1 à 12.</w:t>
      </w:r>
    </w:p>
    <w:tbl>
      <w:tblPr>
        <w:tblW w:type="auto" w:w="0"/>
        <w:jc w:val="center"/>
        <w:tblLayout w:type="autofit"/>
        <w:tblLook w:firstColumn="1" w:firstRow="1" w:lastColumn="0" w:lastRow="0" w:noHBand="0" w:noVBand="1" w:val="04A0"/>
      </w:tblPr>
      <w:tblGrid>
        <w:gridCol w:w="10123"/>
      </w:tblGrid>
      <w:tr>
        <w:trPr>
          <w:cantSplit/>
        </w:trPr>
        <w:tc>
          <w:tcPr>
            <w:tcW w:type="dxa" w:w="10123"/>
            <w:shd w:fill="F2F2F2"/>
            <w:tcMar>
              <w:top w:w="16" w:type="dxa"/>
              <w:start w:w="42" w:type="dxa"/>
              <w:bottom w:w="16" w:type="dxa"/>
              <w:end w:w="42" w:type="dxa"/>
            </w:tcMar>
            <w:tcBorders>
              <w:left w:val="single" w:sz="18" w:color="6B6B6B"/>
            </w:tcBorders>
          </w:tcPr>
          <w:p>
            <w:pPr>
              <w:spacing w:after="0" w:before="0" w:line="240" w:lineRule="auto"/>
            </w:pPr>
            <w:r>
              <w:rPr>
                <w:b/>
                <w:color w:val="6B6B6B"/>
                <w:sz w:val="14"/>
              </w:rPr>
              <w:t>VERSION DE TRAVAIL</w:t>
            </w:r>
          </w:p>
          <w:p>
            <w:pPr>
              <w:spacing w:after="0" w:before="0" w:line="240" w:lineRule="auto"/>
            </w:pPr>
            <w:r>
              <w:t>Cette version remplace la V4 pour la revue interne. Elle conserve la structure épurée et corrige l’architecture financière : les honoraires OSI sont facturés au client mais prélevés dans le règlement Globex, sans paiement séparé. Elle ne doit pas encore être classée comme version finale tant que Henrik n’a pas validé la structure et que Zack n’a pas revu les points juridiques.</w:t>
            </w:r>
          </w:p>
        </w:tc>
      </w:tr>
    </w:tbl>
    <w:sectPr w:rsidR="00FC693F" w:rsidRPr="0006063C" w:rsidSect="00034616">
      <w:headerReference w:type="default" r:id="rId9"/>
      <w:footerReference w:type="default" r:id="rId10"/>
      <w:pgSz w:w="11909" w:h="16834"/>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6B6B"/>
        <w:sz w:val="14"/>
      </w:rPr>
      <w:t xml:space="preserve">DOCUMENT DE TRAVAIL · Yves / Zack · Version 5 épurée · 16 octobre 2026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B58B2A"/>
        <w:sz w:val="15"/>
      </w:rPr>
      <w:t>OSI  |  Architecture stratégique et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B58B2A"/>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D5F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Subtitle">
    <w:name w:val="Section Subtitle"/>
    <w:pPr>
      <w:spacing w:after="120"/>
    </w:pPr>
    <w:rPr>
      <w:rFonts w:ascii="Aptos" w:hAnsi="Aptos"/>
      <w:i/>
      <w:color w:val="6B6B6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