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6BF" w:rsidRDefault="006346BF" w:rsidP="006346BF">
      <w:pPr>
        <w:pStyle w:val="Titre1"/>
      </w:pPr>
      <w:r>
        <w:t>Cahier des charges – Projet “Courbes de Trésorerie Nationales”</w:t>
      </w:r>
    </w:p>
    <w:p w:rsidR="006346BF" w:rsidRDefault="00E57D98" w:rsidP="006346BF">
      <w:r>
        <w:rPr>
          <w:noProof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6346BF" w:rsidRDefault="006346BF" w:rsidP="006346BF">
      <w:pPr>
        <w:pStyle w:val="Titre2"/>
      </w:pPr>
      <w:r>
        <w:t>1. Introduction au problème posé</w:t>
      </w:r>
    </w:p>
    <w:p w:rsidR="006346BF" w:rsidRDefault="006346BF" w:rsidP="006346BF">
      <w:pPr>
        <w:pStyle w:val="Titre3"/>
      </w:pPr>
      <w:r>
        <w:t>1.1 Contexte général</w:t>
      </w:r>
    </w:p>
    <w:p w:rsidR="006346BF" w:rsidRDefault="006346BF" w:rsidP="006346BF">
      <w:pPr>
        <w:pStyle w:val="NormalWeb"/>
      </w:pPr>
      <w:r>
        <w:t>Les courbes de taux de trésorerie nationales (Allemagne, France, États-Unis) constituent des références fondamentales pour :</w:t>
      </w:r>
    </w:p>
    <w:p w:rsidR="006346BF" w:rsidRDefault="006346BF" w:rsidP="006346BF">
      <w:pPr>
        <w:pStyle w:val="NormalWeb"/>
        <w:numPr>
          <w:ilvl w:val="0"/>
          <w:numId w:val="10"/>
        </w:numPr>
      </w:pPr>
      <w:proofErr w:type="gramStart"/>
      <w:r>
        <w:t>la</w:t>
      </w:r>
      <w:proofErr w:type="gramEnd"/>
      <w:r>
        <w:t xml:space="preserve"> valorisation d’obligations et de produits dérivés,</w:t>
      </w:r>
    </w:p>
    <w:p w:rsidR="006346BF" w:rsidRDefault="006346BF" w:rsidP="006346BF">
      <w:pPr>
        <w:pStyle w:val="NormalWeb"/>
        <w:numPr>
          <w:ilvl w:val="0"/>
          <w:numId w:val="10"/>
        </w:numPr>
      </w:pPr>
      <w:proofErr w:type="gramStart"/>
      <w:r>
        <w:t>l’analyse</w:t>
      </w:r>
      <w:proofErr w:type="gramEnd"/>
      <w:r>
        <w:t xml:space="preserve"> macroéconomique,</w:t>
      </w:r>
    </w:p>
    <w:p w:rsidR="006346BF" w:rsidRDefault="006346BF" w:rsidP="006346BF">
      <w:pPr>
        <w:pStyle w:val="NormalWeb"/>
        <w:numPr>
          <w:ilvl w:val="0"/>
          <w:numId w:val="10"/>
        </w:numPr>
      </w:pPr>
      <w:proofErr w:type="gramStart"/>
      <w:r>
        <w:t>et</w:t>
      </w:r>
      <w:proofErr w:type="gramEnd"/>
      <w:r>
        <w:t xml:space="preserve"> la politique monétaire.</w:t>
      </w:r>
    </w:p>
    <w:p w:rsidR="006346BF" w:rsidRDefault="006346BF" w:rsidP="006346BF">
      <w:pPr>
        <w:pStyle w:val="NormalWeb"/>
      </w:pPr>
      <w:r>
        <w:t>Elles traduisent les conditions de financement des États et les anticipations du marché sur les taux à court, moyen et long terme.</w:t>
      </w:r>
    </w:p>
    <w:p w:rsidR="006346BF" w:rsidRDefault="006346BF" w:rsidP="006346BF">
      <w:pPr>
        <w:pStyle w:val="NormalWeb"/>
      </w:pPr>
      <w:r>
        <w:t>Dans un contexte post-crise marqué par la normalisation des taux et la fin des politiques de taux zéro, la forme et la pente des courbes diffèrent fortement entre zones économiques (inversion aux États-Unis, normalité en Europe).</w:t>
      </w:r>
    </w:p>
    <w:p w:rsidR="006346BF" w:rsidRDefault="00E57D98" w:rsidP="006346BF">
      <w:r>
        <w:rPr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6346BF" w:rsidRDefault="006346BF" w:rsidP="006346BF">
      <w:pPr>
        <w:pStyle w:val="Titre3"/>
      </w:pPr>
      <w:r>
        <w:t>1.2 Objectifs du projet</w:t>
      </w:r>
    </w:p>
    <w:p w:rsidR="006346BF" w:rsidRDefault="006346BF" w:rsidP="006346BF">
      <w:pPr>
        <w:pStyle w:val="NormalWeb"/>
        <w:numPr>
          <w:ilvl w:val="0"/>
          <w:numId w:val="11"/>
        </w:numPr>
      </w:pPr>
      <w:r>
        <w:rPr>
          <w:rStyle w:val="lev"/>
          <w:rFonts w:eastAsiaTheme="majorEastAsia"/>
        </w:rPr>
        <w:t>Construire</w:t>
      </w:r>
      <w:r>
        <w:t xml:space="preserve"> des courbes de taux pour trois marchés : </w:t>
      </w:r>
      <w:r>
        <w:rPr>
          <w:rFonts w:ascii="Apple Color Emoji" w:hAnsi="Apple Color Emoji" w:cs="Apple Color Emoji"/>
        </w:rPr>
        <w:t>🇩🇪</w:t>
      </w:r>
      <w:r>
        <w:t xml:space="preserve"> Allemagne, </w:t>
      </w:r>
      <w:r>
        <w:rPr>
          <w:rFonts w:ascii="Apple Color Emoji" w:hAnsi="Apple Color Emoji" w:cs="Apple Color Emoji"/>
        </w:rPr>
        <w:t>🇫🇷</w:t>
      </w:r>
      <w:r>
        <w:t xml:space="preserve"> France, </w:t>
      </w:r>
      <w:r>
        <w:rPr>
          <w:rFonts w:ascii="Apple Color Emoji" w:hAnsi="Apple Color Emoji" w:cs="Apple Color Emoji"/>
        </w:rPr>
        <w:t>🇺🇸</w:t>
      </w:r>
      <w:r>
        <w:t xml:space="preserve"> États-Unis.</w:t>
      </w:r>
    </w:p>
    <w:p w:rsidR="006346BF" w:rsidRDefault="006346BF" w:rsidP="006346BF">
      <w:pPr>
        <w:pStyle w:val="NormalWeb"/>
        <w:numPr>
          <w:ilvl w:val="0"/>
          <w:numId w:val="11"/>
        </w:numPr>
      </w:pPr>
      <w:r>
        <w:rPr>
          <w:rStyle w:val="lev"/>
          <w:rFonts w:eastAsiaTheme="majorEastAsia"/>
        </w:rPr>
        <w:t>Lisser</w:t>
      </w:r>
      <w:r>
        <w:t xml:space="preserve"> ces courbes à partir de données publiques (dépôts, swaps, obligations d’État).</w:t>
      </w:r>
    </w:p>
    <w:p w:rsidR="006346BF" w:rsidRDefault="006346BF" w:rsidP="006346BF">
      <w:pPr>
        <w:pStyle w:val="NormalWeb"/>
        <w:numPr>
          <w:ilvl w:val="0"/>
          <w:numId w:val="11"/>
        </w:numPr>
      </w:pPr>
      <w:r>
        <w:rPr>
          <w:rStyle w:val="lev"/>
          <w:rFonts w:eastAsiaTheme="majorEastAsia"/>
        </w:rPr>
        <w:t>Visualiser</w:t>
      </w:r>
      <w:r>
        <w:t xml:space="preserve"> et comparer les profils de pente, convexité et forme.</w:t>
      </w:r>
    </w:p>
    <w:p w:rsidR="006346BF" w:rsidRDefault="006346BF" w:rsidP="006346BF">
      <w:pPr>
        <w:pStyle w:val="NormalWeb"/>
        <w:numPr>
          <w:ilvl w:val="0"/>
          <w:numId w:val="11"/>
        </w:numPr>
      </w:pPr>
      <w:r>
        <w:t xml:space="preserve">Fournir un </w:t>
      </w:r>
      <w:r>
        <w:rPr>
          <w:rStyle w:val="lev"/>
          <w:rFonts w:eastAsiaTheme="majorEastAsia"/>
        </w:rPr>
        <w:t>outil réutilisable</w:t>
      </w:r>
      <w:r>
        <w:t xml:space="preserve"> pour l’analyse ou la valorisation basique.</w:t>
      </w:r>
    </w:p>
    <w:p w:rsidR="006346BF" w:rsidRDefault="00E57D98" w:rsidP="006346BF">
      <w:r>
        <w:rPr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6346BF" w:rsidRDefault="006346BF" w:rsidP="006346BF">
      <w:pPr>
        <w:pStyle w:val="Titre3"/>
      </w:pPr>
      <w:r>
        <w:t>1.3 Limites du projet</w:t>
      </w:r>
    </w:p>
    <w:p w:rsidR="006346BF" w:rsidRDefault="006346BF" w:rsidP="006346BF">
      <w:pPr>
        <w:pStyle w:val="NormalWeb"/>
        <w:numPr>
          <w:ilvl w:val="0"/>
          <w:numId w:val="12"/>
        </w:numPr>
      </w:pPr>
      <w:r>
        <w:t xml:space="preserve">Données de marché </w:t>
      </w:r>
      <w:r>
        <w:rPr>
          <w:rStyle w:val="lev"/>
          <w:rFonts w:eastAsiaTheme="majorEastAsia"/>
        </w:rPr>
        <w:t>simulées à partir de sources publiques</w:t>
      </w:r>
      <w:r>
        <w:t xml:space="preserve"> (pas de </w:t>
      </w:r>
      <w:proofErr w:type="spellStart"/>
      <w:r>
        <w:t>feed</w:t>
      </w:r>
      <w:proofErr w:type="spellEnd"/>
      <w:r>
        <w:t xml:space="preserve"> Bloomberg).</w:t>
      </w:r>
    </w:p>
    <w:p w:rsidR="006346BF" w:rsidRDefault="006346BF" w:rsidP="006346BF">
      <w:pPr>
        <w:pStyle w:val="NormalWeb"/>
        <w:numPr>
          <w:ilvl w:val="0"/>
          <w:numId w:val="12"/>
        </w:numPr>
      </w:pPr>
      <w:r>
        <w:t>Pas de calibration dynamique intra-journalière.</w:t>
      </w:r>
    </w:p>
    <w:p w:rsidR="006346BF" w:rsidRDefault="006346BF" w:rsidP="006346BF">
      <w:pPr>
        <w:pStyle w:val="NormalWeb"/>
        <w:numPr>
          <w:ilvl w:val="0"/>
          <w:numId w:val="12"/>
        </w:numPr>
      </w:pPr>
      <w:r>
        <w:t xml:space="preserve">Les obligations d’État sont intégrées via leurs </w:t>
      </w:r>
      <w:r>
        <w:rPr>
          <w:rStyle w:val="lev"/>
          <w:rFonts w:eastAsiaTheme="majorEastAsia"/>
        </w:rPr>
        <w:t>taux spot</w:t>
      </w:r>
      <w:r>
        <w:t xml:space="preserve"> (sans coupon).</w:t>
      </w:r>
    </w:p>
    <w:p w:rsidR="006346BF" w:rsidRDefault="006346BF" w:rsidP="006346BF">
      <w:pPr>
        <w:pStyle w:val="NormalWeb"/>
        <w:numPr>
          <w:ilvl w:val="0"/>
          <w:numId w:val="12"/>
        </w:numPr>
      </w:pPr>
      <w:r>
        <w:t xml:space="preserve">Le projet se concentre sur la </w:t>
      </w:r>
      <w:r>
        <w:rPr>
          <w:rStyle w:val="lev"/>
          <w:rFonts w:eastAsiaTheme="majorEastAsia"/>
        </w:rPr>
        <w:t>construction et le lissage</w:t>
      </w:r>
      <w:r>
        <w:t xml:space="preserve"> (pas de </w:t>
      </w:r>
      <w:proofErr w:type="spellStart"/>
      <w:r>
        <w:t>pricing</w:t>
      </w:r>
      <w:proofErr w:type="spellEnd"/>
      <w:r>
        <w:t xml:space="preserve"> complet).</w:t>
      </w:r>
    </w:p>
    <w:p w:rsidR="006346BF" w:rsidRDefault="00E57D98" w:rsidP="006346BF">
      <w:r>
        <w:rPr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6346BF" w:rsidRDefault="006346BF" w:rsidP="006346BF">
      <w:pPr>
        <w:pStyle w:val="Titre3"/>
      </w:pPr>
      <w:r>
        <w:t>1.4 Utilisateurs visés</w:t>
      </w:r>
    </w:p>
    <w:p w:rsidR="006346BF" w:rsidRDefault="006346BF" w:rsidP="006346BF">
      <w:pPr>
        <w:pStyle w:val="NormalWeb"/>
        <w:numPr>
          <w:ilvl w:val="0"/>
          <w:numId w:val="13"/>
        </w:numPr>
      </w:pPr>
      <w:r>
        <w:t>Étudiants en finance / ingénierie financière.</w:t>
      </w:r>
    </w:p>
    <w:p w:rsidR="006346BF" w:rsidRDefault="006346BF" w:rsidP="006346BF">
      <w:pPr>
        <w:pStyle w:val="NormalWeb"/>
        <w:numPr>
          <w:ilvl w:val="0"/>
          <w:numId w:val="13"/>
        </w:numPr>
      </w:pPr>
      <w:r>
        <w:t>Chercheurs ou praticiens souhaitant visualiser les différences de courbes souveraines.</w:t>
      </w:r>
    </w:p>
    <w:p w:rsidR="006346BF" w:rsidRDefault="006346BF" w:rsidP="006346BF">
      <w:pPr>
        <w:pStyle w:val="NormalWeb"/>
        <w:numPr>
          <w:ilvl w:val="0"/>
          <w:numId w:val="13"/>
        </w:numPr>
      </w:pPr>
      <w:r>
        <w:t>Formateurs souhaitant illustrer les méthodes de lissage de taux.</w:t>
      </w:r>
    </w:p>
    <w:p w:rsidR="006346BF" w:rsidRDefault="00E57D98" w:rsidP="006346BF">
      <w:r>
        <w:rPr>
          <w:noProof/>
        </w:rPr>
        <w:lastRenderedPageBreak/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6346BF" w:rsidRDefault="006346BF" w:rsidP="006346BF">
      <w:pPr>
        <w:pStyle w:val="Titre3"/>
      </w:pPr>
      <w:r>
        <w:t>1.5 Sources théoriques principales</w:t>
      </w:r>
    </w:p>
    <w:p w:rsidR="006346BF" w:rsidRPr="006346BF" w:rsidRDefault="006346BF" w:rsidP="006346BF">
      <w:pPr>
        <w:pStyle w:val="NormalWeb"/>
        <w:numPr>
          <w:ilvl w:val="0"/>
          <w:numId w:val="14"/>
        </w:numPr>
        <w:rPr>
          <w:lang w:val="en-US"/>
        </w:rPr>
      </w:pPr>
      <w:proofErr w:type="spellStart"/>
      <w:r w:rsidRPr="006346BF">
        <w:rPr>
          <w:lang w:val="en-US"/>
        </w:rPr>
        <w:t>Brigo</w:t>
      </w:r>
      <w:proofErr w:type="spellEnd"/>
      <w:r w:rsidRPr="006346BF">
        <w:rPr>
          <w:lang w:val="en-US"/>
        </w:rPr>
        <w:t xml:space="preserve"> &amp; </w:t>
      </w:r>
      <w:proofErr w:type="spellStart"/>
      <w:r w:rsidRPr="006346BF">
        <w:rPr>
          <w:lang w:val="en-US"/>
        </w:rPr>
        <w:t>Mercurio</w:t>
      </w:r>
      <w:proofErr w:type="spellEnd"/>
      <w:r w:rsidRPr="006346BF">
        <w:rPr>
          <w:lang w:val="en-US"/>
        </w:rPr>
        <w:t xml:space="preserve"> (2007), </w:t>
      </w:r>
      <w:r w:rsidRPr="006346BF">
        <w:rPr>
          <w:rStyle w:val="Accentuation"/>
          <w:lang w:val="en-US"/>
        </w:rPr>
        <w:t>Interest Rate Models – Theory and Practice</w:t>
      </w:r>
      <w:r w:rsidRPr="006346BF">
        <w:rPr>
          <w:lang w:val="en-US"/>
        </w:rPr>
        <w:t>.</w:t>
      </w:r>
    </w:p>
    <w:p w:rsidR="006346BF" w:rsidRPr="006346BF" w:rsidRDefault="006346BF" w:rsidP="006346BF">
      <w:pPr>
        <w:pStyle w:val="NormalWeb"/>
        <w:numPr>
          <w:ilvl w:val="0"/>
          <w:numId w:val="14"/>
        </w:numPr>
        <w:rPr>
          <w:lang w:val="en-US"/>
        </w:rPr>
      </w:pPr>
      <w:r w:rsidRPr="006346BF">
        <w:rPr>
          <w:lang w:val="en-US"/>
        </w:rPr>
        <w:t xml:space="preserve">Hagan &amp; West (2006), </w:t>
      </w:r>
      <w:r w:rsidRPr="006346BF">
        <w:rPr>
          <w:rStyle w:val="Accentuation"/>
          <w:lang w:val="en-US"/>
        </w:rPr>
        <w:t>Interpolation Methods for Curve Construction</w:t>
      </w:r>
      <w:r w:rsidRPr="006346BF">
        <w:rPr>
          <w:lang w:val="en-US"/>
        </w:rPr>
        <w:t>.</w:t>
      </w:r>
    </w:p>
    <w:p w:rsidR="006346BF" w:rsidRPr="006346BF" w:rsidRDefault="006346BF" w:rsidP="006346BF">
      <w:pPr>
        <w:pStyle w:val="NormalWeb"/>
        <w:numPr>
          <w:ilvl w:val="0"/>
          <w:numId w:val="14"/>
        </w:numPr>
        <w:rPr>
          <w:lang w:val="en-US"/>
        </w:rPr>
      </w:pPr>
      <w:r w:rsidRPr="006346BF">
        <w:rPr>
          <w:lang w:val="en-US"/>
        </w:rPr>
        <w:t xml:space="preserve">Smith &amp; Wilson (2001), </w:t>
      </w:r>
      <w:r w:rsidRPr="006346BF">
        <w:rPr>
          <w:rStyle w:val="Accentuation"/>
          <w:lang w:val="en-US"/>
        </w:rPr>
        <w:t>FSA Yield Curve Methodology</w:t>
      </w:r>
      <w:r w:rsidRPr="006346BF">
        <w:rPr>
          <w:lang w:val="en-US"/>
        </w:rPr>
        <w:t>.</w:t>
      </w:r>
    </w:p>
    <w:p w:rsidR="006346BF" w:rsidRDefault="006346BF" w:rsidP="006346BF">
      <w:pPr>
        <w:pStyle w:val="NormalWeb"/>
        <w:numPr>
          <w:ilvl w:val="0"/>
          <w:numId w:val="14"/>
        </w:numPr>
      </w:pPr>
      <w:r>
        <w:t xml:space="preserve">Données : Banque de France, Bundesbank, U.S. </w:t>
      </w:r>
      <w:proofErr w:type="spellStart"/>
      <w:r>
        <w:t>Treasury</w:t>
      </w:r>
      <w:proofErr w:type="spellEnd"/>
      <w:r>
        <w:t>.</w:t>
      </w:r>
    </w:p>
    <w:p w:rsidR="006346BF" w:rsidRDefault="00E57D98" w:rsidP="006346BF"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6346BF" w:rsidRDefault="006346BF" w:rsidP="006346BF">
      <w:pPr>
        <w:pStyle w:val="Titre2"/>
      </w:pPr>
      <w:r>
        <w:t>2. Expression fonctionnelle du besoin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573"/>
        <w:gridCol w:w="1906"/>
        <w:gridCol w:w="2119"/>
        <w:gridCol w:w="1680"/>
        <w:gridCol w:w="1447"/>
      </w:tblGrid>
      <w:tr w:rsidR="006346BF" w:rsidTr="006346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46BF" w:rsidRDefault="00634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Fonctionnalité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Critère de réussite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Contraintes</w:t>
            </w:r>
          </w:p>
        </w:tc>
      </w:tr>
      <w:tr w:rsidR="006346BF" w:rsidTr="006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6BF" w:rsidRDefault="006346BF">
            <w:r>
              <w:t>F1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rPr>
                <w:rStyle w:val="lev"/>
              </w:rPr>
              <w:t>Import des données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Lecture de fichiers CSV (</w:t>
            </w:r>
            <w:proofErr w:type="spellStart"/>
            <w:r>
              <w:t>quotes</w:t>
            </w:r>
            <w:proofErr w:type="spellEnd"/>
            <w:r>
              <w:t xml:space="preserve"> de dépôts, swaps, obligations)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Alimenter la construction des courbes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Données correctement chargées, formats variés supportés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 xml:space="preserve">Délimiteur </w:t>
            </w:r>
            <w:r>
              <w:rPr>
                <w:rStyle w:val="CodeHTML"/>
                <w:rFonts w:eastAsiaTheme="minorHAnsi"/>
              </w:rPr>
              <w:t>;</w:t>
            </w:r>
            <w:r>
              <w:t xml:space="preserve"> </w:t>
            </w:r>
            <w:proofErr w:type="gramStart"/>
            <w:r>
              <w:t xml:space="preserve">ou </w:t>
            </w:r>
            <w:r>
              <w:rPr>
                <w:rStyle w:val="CodeHTML"/>
                <w:rFonts w:eastAsiaTheme="minorHAnsi"/>
              </w:rPr>
              <w:t>,</w:t>
            </w:r>
            <w:r>
              <w:t>,</w:t>
            </w:r>
            <w:proofErr w:type="gramEnd"/>
            <w:r>
              <w:t xml:space="preserve"> gestion des nombres FR/EN</w:t>
            </w:r>
          </w:p>
        </w:tc>
      </w:tr>
      <w:tr w:rsidR="006346BF" w:rsidTr="006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6BF" w:rsidRDefault="006346BF">
            <w:r>
              <w:t>F2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rPr>
                <w:rStyle w:val="lev"/>
              </w:rPr>
              <w:t>Conversion des maturités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 xml:space="preserve">Conversion des </w:t>
            </w:r>
            <w:proofErr w:type="spellStart"/>
            <w:r>
              <w:t>tenors</w:t>
            </w:r>
            <w:proofErr w:type="spellEnd"/>
            <w:r>
              <w:t xml:space="preserve"> (1M, 3M, 1Y…) en années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Uniformiser les maturités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proofErr w:type="spellStart"/>
            <w:r>
              <w:t>Tenors</w:t>
            </w:r>
            <w:proofErr w:type="spellEnd"/>
            <w:r>
              <w:t xml:space="preserve"> correctement transformés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Gestion des suffixes M/Y</w:t>
            </w:r>
          </w:p>
        </w:tc>
      </w:tr>
      <w:tr w:rsidR="006346BF" w:rsidTr="006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6BF" w:rsidRDefault="006346BF">
            <w:r>
              <w:t>F3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rPr>
                <w:rStyle w:val="lev"/>
              </w:rPr>
              <w:t>Construction de la courbe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Bootstrap d’une courbe de taux zéro à partir des instruments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Obtenir une courbe complète 0–30 ans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Courbe continue et cohérente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Respect conventions ACT/360</w:t>
            </w:r>
          </w:p>
        </w:tc>
      </w:tr>
      <w:tr w:rsidR="006346BF" w:rsidTr="006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6BF" w:rsidRDefault="006346BF">
            <w:r>
              <w:t>F4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rPr>
                <w:rStyle w:val="lev"/>
              </w:rPr>
              <w:t>Lissage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 xml:space="preserve">Implémentation de 3 méthodes : linéaire, </w:t>
            </w:r>
            <w:proofErr w:type="spellStart"/>
            <w:r>
              <w:t>Hagan</w:t>
            </w:r>
            <w:proofErr w:type="spellEnd"/>
            <w:r>
              <w:t>-West, Smith-Wilson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Obtenir une interpolation fluide et réaliste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proofErr w:type="spellStart"/>
            <w:r>
              <w:t>Monotonicité</w:t>
            </w:r>
            <w:proofErr w:type="spellEnd"/>
            <w:r>
              <w:t>, continuité, stabilité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Stabilité numérique</w:t>
            </w:r>
          </w:p>
        </w:tc>
      </w:tr>
      <w:tr w:rsidR="006346BF" w:rsidTr="006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6BF" w:rsidRDefault="006346BF">
            <w:r>
              <w:t>F5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rPr>
                <w:rStyle w:val="lev"/>
              </w:rPr>
              <w:t>Visualisation graphique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 xml:space="preserve">Affichage des courbes zéro et </w:t>
            </w:r>
            <w:proofErr w:type="spellStart"/>
            <w:r>
              <w:t>forwards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Analyser et comparer visuellement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Graphiques lisibles et comparatifs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Résolution suffisante (PNG 1000×600)</w:t>
            </w:r>
          </w:p>
        </w:tc>
      </w:tr>
      <w:tr w:rsidR="006346BF" w:rsidTr="006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6BF" w:rsidRDefault="006346BF">
            <w:r>
              <w:t>F6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rPr>
                <w:rStyle w:val="lev"/>
              </w:rPr>
              <w:t>Analyse de forme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Calcul de la pente et convexité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Identifier la structure de la courbe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Valeurs cohérentes avec la forme visuelle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Mesures dérivées correctes</w:t>
            </w:r>
          </w:p>
        </w:tc>
      </w:tr>
      <w:tr w:rsidR="006346BF" w:rsidTr="006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6BF" w:rsidRDefault="006346BF">
            <w:r>
              <w:t>F7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rPr>
                <w:rStyle w:val="lev"/>
              </w:rPr>
              <w:t xml:space="preserve">Comparaison </w:t>
            </w:r>
            <w:proofErr w:type="spellStart"/>
            <w:r>
              <w:rPr>
                <w:rStyle w:val="lev"/>
              </w:rPr>
              <w:t>inter-pays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Superposition des 3 courbes (DE, FR, US)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Identifier différences macroéconomiques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Graphiques clairs, labels distincts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Échelles homogènes</w:t>
            </w:r>
          </w:p>
        </w:tc>
      </w:tr>
      <w:tr w:rsidR="006346BF" w:rsidTr="00634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6BF" w:rsidRDefault="006346BF">
            <w:r>
              <w:lastRenderedPageBreak/>
              <w:t>F8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rPr>
                <w:rStyle w:val="lev"/>
              </w:rPr>
              <w:t>Exportation des résultats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Sauvegarde des courbes et graphiques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Réutilisation des résultats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Fichiers CSV et images exportés</w:t>
            </w:r>
          </w:p>
        </w:tc>
        <w:tc>
          <w:tcPr>
            <w:tcW w:w="0" w:type="auto"/>
            <w:vAlign w:val="center"/>
            <w:hideMark/>
          </w:tcPr>
          <w:p w:rsidR="006346BF" w:rsidRDefault="006346BF">
            <w:r>
              <w:t>Structure claire d’output</w:t>
            </w:r>
          </w:p>
        </w:tc>
      </w:tr>
    </w:tbl>
    <w:p w:rsidR="006346BF" w:rsidRDefault="00E57D98" w:rsidP="006346BF"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6346BF" w:rsidRDefault="006346BF" w:rsidP="006346BF">
      <w:pPr>
        <w:pStyle w:val="Titre2"/>
      </w:pPr>
      <w:r>
        <w:t>3. Solution proposée</w:t>
      </w:r>
    </w:p>
    <w:p w:rsidR="006346BF" w:rsidRDefault="006346BF" w:rsidP="006346BF">
      <w:pPr>
        <w:pStyle w:val="Titre3"/>
      </w:pPr>
      <w:r>
        <w:t>3.1 Données manipulées</w:t>
      </w:r>
    </w:p>
    <w:p w:rsidR="006346BF" w:rsidRDefault="006346BF" w:rsidP="006346BF">
      <w:pPr>
        <w:pStyle w:val="NormalWeb"/>
        <w:numPr>
          <w:ilvl w:val="0"/>
          <w:numId w:val="15"/>
        </w:numPr>
      </w:pPr>
      <w:r>
        <w:rPr>
          <w:rStyle w:val="lev"/>
          <w:rFonts w:eastAsiaTheme="majorEastAsia"/>
        </w:rPr>
        <w:t>Entrées :</w:t>
      </w:r>
    </w:p>
    <w:p w:rsidR="006346BF" w:rsidRDefault="006346BF" w:rsidP="006346BF">
      <w:pPr>
        <w:pStyle w:val="NormalWeb"/>
        <w:numPr>
          <w:ilvl w:val="1"/>
          <w:numId w:val="15"/>
        </w:numPr>
      </w:pPr>
      <w:r>
        <w:t>Fichiers CSV pour chaque pays :</w:t>
      </w:r>
    </w:p>
    <w:p w:rsidR="006346BF" w:rsidRDefault="006346BF" w:rsidP="006346BF">
      <w:pPr>
        <w:pStyle w:val="NormalWeb"/>
        <w:numPr>
          <w:ilvl w:val="2"/>
          <w:numId w:val="15"/>
        </w:numPr>
      </w:pPr>
      <w:r>
        <w:rPr>
          <w:rStyle w:val="lev"/>
          <w:rFonts w:eastAsiaTheme="majorEastAsia"/>
        </w:rPr>
        <w:t>Dépôts</w:t>
      </w:r>
      <w:r>
        <w:t xml:space="preserve"> (1M–12M)</w:t>
      </w:r>
    </w:p>
    <w:p w:rsidR="006346BF" w:rsidRDefault="006346BF" w:rsidP="006346BF">
      <w:pPr>
        <w:pStyle w:val="NormalWeb"/>
        <w:numPr>
          <w:ilvl w:val="2"/>
          <w:numId w:val="15"/>
        </w:numPr>
      </w:pPr>
      <w:r>
        <w:rPr>
          <w:rStyle w:val="lev"/>
          <w:rFonts w:eastAsiaTheme="majorEastAsia"/>
        </w:rPr>
        <w:t>Swaps</w:t>
      </w:r>
      <w:r>
        <w:t xml:space="preserve"> (1Y–30Y)</w:t>
      </w:r>
    </w:p>
    <w:p w:rsidR="006346BF" w:rsidRDefault="006346BF" w:rsidP="006346BF">
      <w:pPr>
        <w:pStyle w:val="NormalWeb"/>
        <w:numPr>
          <w:ilvl w:val="2"/>
          <w:numId w:val="15"/>
        </w:numPr>
      </w:pPr>
      <w:r>
        <w:rPr>
          <w:rStyle w:val="lev"/>
          <w:rFonts w:eastAsiaTheme="majorEastAsia"/>
        </w:rPr>
        <w:t>Obligations</w:t>
      </w:r>
      <w:r>
        <w:t xml:space="preserve"> (10Y–30Y, taux spot)</w:t>
      </w:r>
    </w:p>
    <w:p w:rsidR="006346BF" w:rsidRDefault="006346BF" w:rsidP="006346BF">
      <w:pPr>
        <w:pStyle w:val="NormalWeb"/>
        <w:numPr>
          <w:ilvl w:val="0"/>
          <w:numId w:val="15"/>
        </w:numPr>
      </w:pPr>
      <w:r>
        <w:rPr>
          <w:rStyle w:val="lev"/>
          <w:rFonts w:eastAsiaTheme="majorEastAsia"/>
        </w:rPr>
        <w:t>Sorties :</w:t>
      </w:r>
    </w:p>
    <w:p w:rsidR="006346BF" w:rsidRDefault="006346BF" w:rsidP="006346BF">
      <w:pPr>
        <w:pStyle w:val="NormalWeb"/>
        <w:numPr>
          <w:ilvl w:val="1"/>
          <w:numId w:val="15"/>
        </w:numPr>
      </w:pPr>
      <w:r>
        <w:t xml:space="preserve">Courbes de taux zéro, discount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forwards</w:t>
      </w:r>
      <w:proofErr w:type="spellEnd"/>
      <w:r>
        <w:t>.</w:t>
      </w:r>
    </w:p>
    <w:p w:rsidR="006346BF" w:rsidRDefault="006346BF" w:rsidP="006346BF">
      <w:pPr>
        <w:pStyle w:val="NormalWeb"/>
        <w:numPr>
          <w:ilvl w:val="1"/>
          <w:numId w:val="15"/>
        </w:numPr>
      </w:pPr>
      <w:r>
        <w:t>Graphiques comparatifs.</w:t>
      </w:r>
    </w:p>
    <w:p w:rsidR="006346BF" w:rsidRDefault="006346BF" w:rsidP="006346BF">
      <w:pPr>
        <w:pStyle w:val="NormalWeb"/>
        <w:numPr>
          <w:ilvl w:val="1"/>
          <w:numId w:val="15"/>
        </w:numPr>
      </w:pPr>
      <w:r>
        <w:t xml:space="preserve">Fichiers CSV et PNG pour </w:t>
      </w:r>
      <w:proofErr w:type="spellStart"/>
      <w:r>
        <w:t>reporting</w:t>
      </w:r>
      <w:proofErr w:type="spellEnd"/>
      <w:r>
        <w:t>.</w:t>
      </w:r>
    </w:p>
    <w:p w:rsidR="00052F11" w:rsidRDefault="00052F11" w:rsidP="006346BF"/>
    <w:p w:rsidR="006346BF" w:rsidRDefault="006346BF" w:rsidP="006346BF">
      <w:pPr>
        <w:pStyle w:val="Titre3"/>
      </w:pPr>
      <w:r>
        <w:t>3.2 Modèles mathématiques</w:t>
      </w:r>
    </w:p>
    <w:p w:rsidR="006346BF" w:rsidRDefault="006346BF" w:rsidP="006346BF">
      <w:pPr>
        <w:pStyle w:val="Titre4"/>
      </w:pPr>
      <w:proofErr w:type="gramStart"/>
      <w:r>
        <w:rPr>
          <w:rFonts w:ascii="Apple Color Emoji" w:hAnsi="Apple Color Emoji" w:cs="Apple Color Emoji"/>
        </w:rPr>
        <w:t>🔹</w:t>
      </w:r>
      <w:proofErr w:type="gramEnd"/>
      <w:r>
        <w:t xml:space="preserve"> Interpolation linéaire</w:t>
      </w:r>
    </w:p>
    <w:p w:rsidR="006346BF" w:rsidRDefault="006346BF" w:rsidP="006346BF">
      <w:pPr>
        <w:pStyle w:val="NormalWeb"/>
      </w:pPr>
      <w:r>
        <w:t xml:space="preserve">Formule simple entre deux points successifs </w:t>
      </w:r>
      <w:r>
        <w:rPr>
          <w:rStyle w:val="katex-mathml"/>
          <w:rFonts w:eastAsiaTheme="majorEastAsia"/>
        </w:rPr>
        <w:t>(</w:t>
      </w:r>
      <w:proofErr w:type="spellStart"/>
      <w:r>
        <w:rPr>
          <w:rStyle w:val="katex-mathml"/>
          <w:rFonts w:eastAsiaTheme="majorEastAsia"/>
        </w:rPr>
        <w:t>ti,ri</w:t>
      </w:r>
      <w:proofErr w:type="spellEnd"/>
      <w:r>
        <w:rPr>
          <w:rStyle w:val="katex-mathml"/>
          <w:rFonts w:eastAsiaTheme="majorEastAsia"/>
        </w:rPr>
        <w:t>),(ti+1,ri+1</w:t>
      </w:r>
      <w:r>
        <w:rPr>
          <w:rStyle w:val="katex-mathml"/>
          <w:rFonts w:eastAsiaTheme="majorEastAsia"/>
        </w:rPr>
        <w:t>)</w:t>
      </w:r>
      <w:r>
        <w:t>:</w:t>
      </w:r>
    </w:p>
    <w:p w:rsidR="006346BF" w:rsidRDefault="006346BF" w:rsidP="006346BF">
      <w:pPr>
        <w:pStyle w:val="NormalWeb"/>
      </w:pPr>
      <w:r w:rsidRPr="006346BF">
        <w:drawing>
          <wp:inline distT="0" distB="0" distL="0" distR="0" wp14:anchorId="4A7E069A" wp14:editId="5070010A">
            <wp:extent cx="4305300" cy="927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BF" w:rsidRDefault="006346BF" w:rsidP="006346BF">
      <w:pPr>
        <w:pStyle w:val="NormalWeb"/>
      </w:pPr>
      <w:r>
        <w:t>→ Base de comparaison.</w:t>
      </w:r>
    </w:p>
    <w:p w:rsidR="006346BF" w:rsidRDefault="006346BF" w:rsidP="006346BF">
      <w:pPr>
        <w:pStyle w:val="Titre4"/>
      </w:pPr>
      <w:proofErr w:type="gramStart"/>
      <w:r>
        <w:rPr>
          <w:rFonts w:ascii="Apple Color Emoji" w:hAnsi="Apple Color Emoji" w:cs="Apple Color Emoji"/>
        </w:rPr>
        <w:t>🔹</w:t>
      </w:r>
      <w:proofErr w:type="gramEnd"/>
      <w:r>
        <w:t xml:space="preserve"> </w:t>
      </w:r>
      <w:proofErr w:type="spellStart"/>
      <w:r>
        <w:t>Hagan</w:t>
      </w:r>
      <w:proofErr w:type="spellEnd"/>
      <w:r>
        <w:t xml:space="preserve">-West (Monotone </w:t>
      </w:r>
      <w:proofErr w:type="spellStart"/>
      <w:r>
        <w:t>Convex</w:t>
      </w:r>
      <w:proofErr w:type="spellEnd"/>
      <w:r>
        <w:t>)</w:t>
      </w:r>
    </w:p>
    <w:p w:rsidR="006346BF" w:rsidRDefault="006346BF" w:rsidP="006346BF">
      <w:pPr>
        <w:pStyle w:val="NormalWeb"/>
      </w:pPr>
      <w:r>
        <w:t xml:space="preserve">Assure continuité des taux instantanés et </w:t>
      </w:r>
      <w:proofErr w:type="spellStart"/>
      <w:r>
        <w:t>monotonicité</w:t>
      </w:r>
      <w:proofErr w:type="spellEnd"/>
      <w:r>
        <w:t xml:space="preserve"> des discount </w:t>
      </w:r>
      <w:proofErr w:type="spellStart"/>
      <w:r>
        <w:t>factors</w:t>
      </w:r>
      <w:proofErr w:type="spellEnd"/>
      <w:r>
        <w:t>.</w:t>
      </w:r>
      <w:r>
        <w:br/>
        <w:t>Très utilisé en pratique (Bloomberg, Murex).</w:t>
      </w:r>
    </w:p>
    <w:p w:rsidR="006346BF" w:rsidRDefault="006346BF" w:rsidP="006346BF">
      <w:pPr>
        <w:pStyle w:val="Titre4"/>
      </w:pPr>
      <w:proofErr w:type="gramStart"/>
      <w:r>
        <w:rPr>
          <w:rFonts w:ascii="Apple Color Emoji" w:hAnsi="Apple Color Emoji" w:cs="Apple Color Emoji"/>
        </w:rPr>
        <w:t>🔹</w:t>
      </w:r>
      <w:proofErr w:type="gramEnd"/>
      <w:r>
        <w:t xml:space="preserve"> Smith-Wilson</w:t>
      </w:r>
    </w:p>
    <w:p w:rsidR="006346BF" w:rsidRDefault="006346BF" w:rsidP="006346BF">
      <w:pPr>
        <w:pStyle w:val="NormalWeb"/>
      </w:pPr>
      <w:r>
        <w:t xml:space="preserve">Méthode réglementaire (EIOPA) pour extrapoler la courbe vers un taux ultime </w:t>
      </w:r>
      <w:r>
        <w:rPr>
          <w:rStyle w:val="katex-mathml"/>
        </w:rPr>
        <w:t>u</w:t>
      </w:r>
      <w:r>
        <w:t>.</w:t>
      </w:r>
    </w:p>
    <w:p w:rsidR="006346BF" w:rsidRDefault="006346BF" w:rsidP="006346BF">
      <w:pPr>
        <w:pStyle w:val="NormalWeb"/>
      </w:pPr>
    </w:p>
    <w:p w:rsidR="006346BF" w:rsidRDefault="00030A9A" w:rsidP="006346BF">
      <w:r w:rsidRPr="00030A9A">
        <w:lastRenderedPageBreak/>
        <w:drawing>
          <wp:inline distT="0" distB="0" distL="0" distR="0" wp14:anchorId="6E404E6A" wp14:editId="7620BFA8">
            <wp:extent cx="5295900" cy="1028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9A" w:rsidRPr="00030A9A" w:rsidRDefault="00030A9A" w:rsidP="00030A9A">
      <w:pPr>
        <w:rPr>
          <w:rFonts w:ascii="Times New Roman" w:eastAsia="Times New Roman" w:hAnsi="Times New Roman" w:cs="Times New Roman"/>
          <w:lang w:eastAsia="fr-FR"/>
        </w:rPr>
      </w:pPr>
      <w:r w:rsidRPr="00030A9A">
        <w:rPr>
          <w:rFonts w:ascii="Times New Roman" w:eastAsia="Times New Roman" w:hAnsi="Times New Roman" w:cs="Times New Roman"/>
          <w:lang w:eastAsia="fr-FR"/>
        </w:rPr>
        <w:t>→ utilisée pour prolonger les taux longs (30 ans+).</w:t>
      </w:r>
    </w:p>
    <w:p w:rsidR="00030A9A" w:rsidRDefault="00030A9A" w:rsidP="006346BF"/>
    <w:p w:rsidR="00030A9A" w:rsidRPr="00030A9A" w:rsidRDefault="00030A9A" w:rsidP="00030A9A">
      <w:pPr>
        <w:pStyle w:val="Titre3"/>
      </w:pPr>
      <w:r w:rsidRPr="00030A9A">
        <w:t>3.3 Structure logicielle (C# .NET 9)</w:t>
      </w:r>
    </w:p>
    <w:p w:rsidR="005301E2" w:rsidRDefault="005301E2" w:rsidP="005301E2">
      <w:r>
        <w:t>/</w:t>
      </w:r>
      <w:proofErr w:type="spellStart"/>
      <w:r>
        <w:t>RateCurveProject</w:t>
      </w:r>
      <w:proofErr w:type="spellEnd"/>
    </w:p>
    <w:p w:rsidR="005301E2" w:rsidRDefault="005301E2" w:rsidP="005301E2">
      <w:r>
        <w:t>│</w:t>
      </w:r>
    </w:p>
    <w:p w:rsidR="005301E2" w:rsidRPr="005301E2" w:rsidRDefault="005301E2" w:rsidP="005301E2">
      <w:pPr>
        <w:rPr>
          <w:lang w:val="en-US"/>
        </w:rPr>
      </w:pP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>── Data/</w:t>
      </w:r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 xml:space="preserve">│   </w:t>
      </w: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 xml:space="preserve">── </w:t>
      </w:r>
      <w:proofErr w:type="spellStart"/>
      <w:r w:rsidRPr="005301E2">
        <w:rPr>
          <w:lang w:val="en-US"/>
        </w:rPr>
        <w:t>MarketDataLoader.cs</w:t>
      </w:r>
      <w:proofErr w:type="spellEnd"/>
      <w:proofErr w:type="gramStart"/>
      <w:r w:rsidRPr="005301E2">
        <w:rPr>
          <w:lang w:val="en-US"/>
        </w:rPr>
        <w:t xml:space="preserve">   (</w:t>
      </w:r>
      <w:proofErr w:type="gramEnd"/>
      <w:r w:rsidRPr="005301E2">
        <w:rPr>
          <w:lang w:val="en-US"/>
        </w:rPr>
        <w:t xml:space="preserve">lecture CSV </w:t>
      </w:r>
      <w:proofErr w:type="spellStart"/>
      <w:r w:rsidRPr="005301E2">
        <w:rPr>
          <w:lang w:val="en-US"/>
        </w:rPr>
        <w:t>robuste</w:t>
      </w:r>
      <w:proofErr w:type="spellEnd"/>
      <w:r w:rsidRPr="005301E2">
        <w:rPr>
          <w:lang w:val="en-US"/>
        </w:rPr>
        <w:t>)</w:t>
      </w:r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>│</w:t>
      </w:r>
    </w:p>
    <w:p w:rsidR="005301E2" w:rsidRPr="005301E2" w:rsidRDefault="005301E2" w:rsidP="005301E2">
      <w:pPr>
        <w:rPr>
          <w:lang w:val="en-US"/>
        </w:rPr>
      </w:pP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>── Models/</w:t>
      </w:r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 xml:space="preserve">│   </w:t>
      </w: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 xml:space="preserve">── </w:t>
      </w:r>
      <w:proofErr w:type="spellStart"/>
      <w:r w:rsidRPr="005301E2">
        <w:rPr>
          <w:lang w:val="en-US"/>
        </w:rPr>
        <w:t>Curve.cs</w:t>
      </w:r>
      <w:proofErr w:type="spellEnd"/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 xml:space="preserve">│   </w:t>
      </w: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 xml:space="preserve">── </w:t>
      </w:r>
      <w:proofErr w:type="spellStart"/>
      <w:r w:rsidRPr="005301E2">
        <w:rPr>
          <w:lang w:val="en-US"/>
        </w:rPr>
        <w:t>MarketInstrument.cs</w:t>
      </w:r>
      <w:proofErr w:type="spellEnd"/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 xml:space="preserve">│   </w:t>
      </w: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>── Interpolation/</w:t>
      </w:r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 xml:space="preserve">│       </w:t>
      </w: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 xml:space="preserve">── </w:t>
      </w:r>
      <w:proofErr w:type="spellStart"/>
      <w:r w:rsidRPr="005301E2">
        <w:rPr>
          <w:lang w:val="en-US"/>
        </w:rPr>
        <w:t>Linear.cs</w:t>
      </w:r>
      <w:proofErr w:type="spellEnd"/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 xml:space="preserve">│       </w:t>
      </w: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 xml:space="preserve">── </w:t>
      </w:r>
      <w:proofErr w:type="spellStart"/>
      <w:r w:rsidRPr="005301E2">
        <w:rPr>
          <w:lang w:val="en-US"/>
        </w:rPr>
        <w:t>HaganWest.cs</w:t>
      </w:r>
      <w:proofErr w:type="spellEnd"/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 xml:space="preserve">│       </w:t>
      </w: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 xml:space="preserve">── </w:t>
      </w:r>
      <w:proofErr w:type="spellStart"/>
      <w:r w:rsidRPr="005301E2">
        <w:rPr>
          <w:lang w:val="en-US"/>
        </w:rPr>
        <w:t>SmithWilson.cs</w:t>
      </w:r>
      <w:proofErr w:type="spellEnd"/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>│</w:t>
      </w:r>
    </w:p>
    <w:p w:rsidR="005301E2" w:rsidRPr="005301E2" w:rsidRDefault="005301E2" w:rsidP="005301E2">
      <w:pPr>
        <w:rPr>
          <w:lang w:val="en-US"/>
        </w:rPr>
      </w:pP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>── Engine/</w:t>
      </w:r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 xml:space="preserve">│   </w:t>
      </w: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 xml:space="preserve">── </w:t>
      </w:r>
      <w:proofErr w:type="spellStart"/>
      <w:r w:rsidRPr="005301E2">
        <w:rPr>
          <w:lang w:val="en-US"/>
        </w:rPr>
        <w:t>Bootstrapper.cs</w:t>
      </w:r>
      <w:proofErr w:type="spellEnd"/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 xml:space="preserve">│   </w:t>
      </w: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 xml:space="preserve">── </w:t>
      </w:r>
      <w:proofErr w:type="spellStart"/>
      <w:r w:rsidRPr="005301E2">
        <w:rPr>
          <w:lang w:val="en-US"/>
        </w:rPr>
        <w:t>Analyzer.cs</w:t>
      </w:r>
      <w:proofErr w:type="spellEnd"/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>│</w:t>
      </w:r>
    </w:p>
    <w:p w:rsidR="005301E2" w:rsidRPr="005301E2" w:rsidRDefault="005301E2" w:rsidP="005301E2">
      <w:pPr>
        <w:rPr>
          <w:lang w:val="en-US"/>
        </w:rPr>
      </w:pP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>── UI/</w:t>
      </w:r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 xml:space="preserve">│   </w:t>
      </w:r>
      <w:r w:rsidRPr="005301E2">
        <w:rPr>
          <w:rFonts w:ascii="MS Gothic" w:eastAsia="MS Gothic" w:hAnsi="MS Gothic" w:cs="MS Gothic" w:hint="eastAsia"/>
          <w:lang w:val="en-US"/>
        </w:rPr>
        <w:t>├</w:t>
      </w:r>
      <w:r w:rsidRPr="005301E2">
        <w:rPr>
          <w:lang w:val="en-US"/>
        </w:rPr>
        <w:t xml:space="preserve">── </w:t>
      </w:r>
      <w:proofErr w:type="spellStart"/>
      <w:r w:rsidRPr="005301E2">
        <w:rPr>
          <w:lang w:val="en-US"/>
        </w:rPr>
        <w:t>CurvePlotter.cs</w:t>
      </w:r>
      <w:proofErr w:type="spellEnd"/>
      <w:r w:rsidRPr="005301E2">
        <w:rPr>
          <w:lang w:val="en-US"/>
        </w:rPr>
        <w:t xml:space="preserve">   </w:t>
      </w:r>
      <w:proofErr w:type="gramStart"/>
      <w:r w:rsidRPr="005301E2">
        <w:rPr>
          <w:lang w:val="en-US"/>
        </w:rPr>
        <w:t xml:space="preserve">   (</w:t>
      </w:r>
      <w:proofErr w:type="spellStart"/>
      <w:proofErr w:type="gramEnd"/>
      <w:r w:rsidRPr="005301E2">
        <w:rPr>
          <w:lang w:val="en-US"/>
        </w:rPr>
        <w:t>ScottPlot</w:t>
      </w:r>
      <w:proofErr w:type="spellEnd"/>
      <w:r w:rsidRPr="005301E2">
        <w:rPr>
          <w:lang w:val="en-US"/>
        </w:rPr>
        <w:t>)</w:t>
      </w:r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>│</w:t>
      </w:r>
    </w:p>
    <w:p w:rsidR="005301E2" w:rsidRPr="005301E2" w:rsidRDefault="005301E2" w:rsidP="005301E2">
      <w:pPr>
        <w:rPr>
          <w:lang w:val="en-US"/>
        </w:rPr>
      </w:pPr>
      <w:r w:rsidRPr="005301E2">
        <w:rPr>
          <w:lang w:val="en-US"/>
        </w:rPr>
        <w:t>└── Output/</w:t>
      </w:r>
    </w:p>
    <w:p w:rsidR="00030A9A" w:rsidRDefault="005301E2" w:rsidP="005301E2">
      <w:r w:rsidRPr="005301E2">
        <w:rPr>
          <w:lang w:val="en-US"/>
        </w:rP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ExportManager.cs</w:t>
      </w:r>
      <w:proofErr w:type="spellEnd"/>
    </w:p>
    <w:p w:rsidR="005301E2" w:rsidRDefault="005301E2" w:rsidP="005301E2">
      <w:pPr>
        <w:rPr>
          <w:rFonts w:ascii="Apple Color Emoji" w:eastAsia="Times New Roman" w:hAnsi="Apple Color Emoji" w:cs="Apple Color Emoji"/>
          <w:lang w:eastAsia="fr-FR"/>
        </w:rPr>
      </w:pPr>
    </w:p>
    <w:p w:rsidR="005301E2" w:rsidRPr="005301E2" w:rsidRDefault="005301E2" w:rsidP="005301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301E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Éléments annexes</w:t>
      </w:r>
    </w:p>
    <w:p w:rsidR="005301E2" w:rsidRPr="005301E2" w:rsidRDefault="005301E2" w:rsidP="005301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0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4.1 Budget et délais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4133"/>
        <w:gridCol w:w="1900"/>
        <w:gridCol w:w="2334"/>
      </w:tblGrid>
      <w:tr w:rsidR="005301E2" w:rsidRPr="005301E2" w:rsidTr="00FE05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Tâches principales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Durée (théorique)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Durée (réelle)</w:t>
            </w:r>
          </w:p>
        </w:tc>
      </w:tr>
      <w:tr w:rsidR="005301E2" w:rsidRPr="005301E2" w:rsidTr="00FE0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Collecte &amp; préparation des données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1 j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1 j</w:t>
            </w:r>
          </w:p>
        </w:tc>
      </w:tr>
      <w:tr w:rsidR="005301E2" w:rsidRPr="005301E2" w:rsidTr="00FE0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Conception architecture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1 j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1 j</w:t>
            </w:r>
          </w:p>
        </w:tc>
      </w:tr>
      <w:tr w:rsidR="005301E2" w:rsidRPr="005301E2" w:rsidTr="00FE0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 xml:space="preserve">Implémentation </w:t>
            </w:r>
            <w:proofErr w:type="spellStart"/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bootstrap</w:t>
            </w:r>
            <w:proofErr w:type="spellEnd"/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 xml:space="preserve"> &amp; interpolations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3 j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4 j</w:t>
            </w:r>
          </w:p>
        </w:tc>
      </w:tr>
      <w:tr w:rsidR="005301E2" w:rsidRPr="005301E2" w:rsidTr="00FE0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Visualisation et comparaisons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2 j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2 j</w:t>
            </w:r>
          </w:p>
        </w:tc>
      </w:tr>
      <w:tr w:rsidR="005301E2" w:rsidRPr="005301E2" w:rsidTr="00FE0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Analyse &amp; rapport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2 j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2 j</w:t>
            </w:r>
          </w:p>
        </w:tc>
      </w:tr>
      <w:tr w:rsidR="005301E2" w:rsidRPr="005301E2" w:rsidTr="00FE0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Revue &amp; finalisation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1 j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lang w:eastAsia="fr-FR"/>
              </w:rPr>
              <w:t>1 j</w:t>
            </w:r>
          </w:p>
        </w:tc>
      </w:tr>
      <w:tr w:rsidR="005301E2" w:rsidRPr="005301E2" w:rsidTr="00FE0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10 jours</w:t>
            </w:r>
          </w:p>
        </w:tc>
        <w:tc>
          <w:tcPr>
            <w:tcW w:w="0" w:type="auto"/>
            <w:vAlign w:val="center"/>
            <w:hideMark/>
          </w:tcPr>
          <w:p w:rsidR="005301E2" w:rsidRPr="005301E2" w:rsidRDefault="005301E2" w:rsidP="005301E2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5301E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10 jours (2 personnes)</w:t>
            </w:r>
          </w:p>
        </w:tc>
      </w:tr>
    </w:tbl>
    <w:p w:rsidR="005301E2" w:rsidRPr="005301E2" w:rsidRDefault="00E57D98" w:rsidP="005301E2">
      <w:pPr>
        <w:rPr>
          <w:rFonts w:ascii="Times New Roman" w:eastAsia="Times New Roman" w:hAnsi="Times New Roman" w:cs="Times New Roman"/>
          <w:lang w:eastAsia="fr-FR"/>
        </w:rPr>
      </w:pPr>
      <w:r w:rsidRPr="005301E2">
        <w:rPr>
          <w:rFonts w:ascii="Times New Roman" w:eastAsia="Times New Roman" w:hAnsi="Times New Roman" w:cs="Times New Roman"/>
          <w:noProof/>
          <w:lang w:eastAsia="fr-FR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5301E2" w:rsidRPr="005301E2" w:rsidRDefault="005301E2" w:rsidP="005301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0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4.2 Livrables attendus</w:t>
      </w:r>
    </w:p>
    <w:p w:rsidR="005301E2" w:rsidRPr="005301E2" w:rsidRDefault="005301E2" w:rsidP="005301E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5301E2">
        <w:rPr>
          <w:rFonts w:ascii="Times New Roman" w:eastAsia="Times New Roman" w:hAnsi="Times New Roman" w:cs="Times New Roman"/>
          <w:lang w:eastAsia="fr-FR"/>
        </w:rPr>
        <w:t>Code source complet (C# .NET 9).</w:t>
      </w:r>
    </w:p>
    <w:p w:rsidR="005301E2" w:rsidRPr="005301E2" w:rsidRDefault="005301E2" w:rsidP="005301E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5301E2">
        <w:rPr>
          <w:rFonts w:ascii="Times New Roman" w:eastAsia="Times New Roman" w:hAnsi="Times New Roman" w:cs="Times New Roman"/>
          <w:lang w:eastAsia="fr-FR"/>
        </w:rPr>
        <w:t>Données CSV (DE, FR, US).</w:t>
      </w:r>
    </w:p>
    <w:p w:rsidR="005301E2" w:rsidRPr="005301E2" w:rsidRDefault="005301E2" w:rsidP="005301E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5301E2">
        <w:rPr>
          <w:rFonts w:ascii="Times New Roman" w:eastAsia="Times New Roman" w:hAnsi="Times New Roman" w:cs="Times New Roman"/>
          <w:lang w:eastAsia="fr-FR"/>
        </w:rPr>
        <w:t>Graphiques comparatifs (</w:t>
      </w:r>
      <w:proofErr w:type="spellStart"/>
      <w:r w:rsidRPr="005301E2">
        <w:rPr>
          <w:rFonts w:ascii="Times New Roman" w:eastAsia="Times New Roman" w:hAnsi="Times New Roman" w:cs="Times New Roman"/>
          <w:lang w:eastAsia="fr-FR"/>
        </w:rPr>
        <w:t>zero</w:t>
      </w:r>
      <w:proofErr w:type="spellEnd"/>
      <w:r w:rsidRPr="005301E2">
        <w:rPr>
          <w:rFonts w:ascii="Times New Roman" w:eastAsia="Times New Roman" w:hAnsi="Times New Roman" w:cs="Times New Roman"/>
          <w:lang w:eastAsia="fr-FR"/>
        </w:rPr>
        <w:t xml:space="preserve"> rates &amp; </w:t>
      </w:r>
      <w:proofErr w:type="spellStart"/>
      <w:r w:rsidRPr="005301E2">
        <w:rPr>
          <w:rFonts w:ascii="Times New Roman" w:eastAsia="Times New Roman" w:hAnsi="Times New Roman" w:cs="Times New Roman"/>
          <w:lang w:eastAsia="fr-FR"/>
        </w:rPr>
        <w:t>forwards</w:t>
      </w:r>
      <w:proofErr w:type="spellEnd"/>
      <w:r w:rsidRPr="005301E2">
        <w:rPr>
          <w:rFonts w:ascii="Times New Roman" w:eastAsia="Times New Roman" w:hAnsi="Times New Roman" w:cs="Times New Roman"/>
          <w:lang w:eastAsia="fr-FR"/>
        </w:rPr>
        <w:t>).</w:t>
      </w:r>
    </w:p>
    <w:p w:rsidR="005301E2" w:rsidRPr="005301E2" w:rsidRDefault="005301E2" w:rsidP="005301E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5301E2">
        <w:rPr>
          <w:rFonts w:ascii="Times New Roman" w:eastAsia="Times New Roman" w:hAnsi="Times New Roman" w:cs="Times New Roman"/>
          <w:lang w:eastAsia="fr-FR"/>
        </w:rPr>
        <w:t>Rapport PDF / présentation 4 min (avec ce cahier des charges en support).</w:t>
      </w:r>
    </w:p>
    <w:p w:rsidR="005301E2" w:rsidRPr="005301E2" w:rsidRDefault="00E57D98" w:rsidP="005301E2">
      <w:pPr>
        <w:rPr>
          <w:rFonts w:ascii="Times New Roman" w:eastAsia="Times New Roman" w:hAnsi="Times New Roman" w:cs="Times New Roman"/>
          <w:lang w:eastAsia="fr-FR"/>
        </w:rPr>
      </w:pPr>
      <w:r w:rsidRPr="005301E2">
        <w:rPr>
          <w:rFonts w:ascii="Times New Roman" w:eastAsia="Times New Roman" w:hAnsi="Times New Roman" w:cs="Times New Roman"/>
          <w:noProof/>
          <w:lang w:eastAsia="fr-FR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5301E2" w:rsidRPr="005301E2" w:rsidRDefault="005301E2" w:rsidP="005301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0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4.3 Documentation</w:t>
      </w:r>
    </w:p>
    <w:p w:rsidR="005301E2" w:rsidRPr="005301E2" w:rsidRDefault="005301E2" w:rsidP="005301E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5301E2">
        <w:rPr>
          <w:rFonts w:ascii="Times New Roman" w:eastAsia="Times New Roman" w:hAnsi="Times New Roman" w:cs="Times New Roman"/>
          <w:b/>
          <w:bCs/>
          <w:lang w:eastAsia="fr-FR"/>
        </w:rPr>
        <w:t>Documentation utilisateur :</w:t>
      </w:r>
      <w:r w:rsidRPr="005301E2">
        <w:rPr>
          <w:rFonts w:ascii="Times New Roman" w:eastAsia="Times New Roman" w:hAnsi="Times New Roman" w:cs="Times New Roman"/>
          <w:lang w:eastAsia="fr-FR"/>
        </w:rPr>
        <w:br/>
        <w:t>Comment charger les fichiers, choisir la méthode de lissage, interpréter les graphiques.</w:t>
      </w:r>
    </w:p>
    <w:p w:rsidR="005301E2" w:rsidRPr="005301E2" w:rsidRDefault="005301E2" w:rsidP="005301E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5301E2">
        <w:rPr>
          <w:rFonts w:ascii="Times New Roman" w:eastAsia="Times New Roman" w:hAnsi="Times New Roman" w:cs="Times New Roman"/>
          <w:b/>
          <w:bCs/>
          <w:lang w:eastAsia="fr-FR"/>
        </w:rPr>
        <w:t>Documentation technique :</w:t>
      </w:r>
      <w:r w:rsidRPr="005301E2">
        <w:rPr>
          <w:rFonts w:ascii="Times New Roman" w:eastAsia="Times New Roman" w:hAnsi="Times New Roman" w:cs="Times New Roman"/>
          <w:lang w:eastAsia="fr-FR"/>
        </w:rPr>
        <w:br/>
        <w:t>Architecture des classes, formules mathématiques, choix de paramètres (λ, u).</w:t>
      </w:r>
    </w:p>
    <w:p w:rsidR="005301E2" w:rsidRPr="005301E2" w:rsidRDefault="005301E2" w:rsidP="005301E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5301E2">
        <w:rPr>
          <w:rFonts w:ascii="Times New Roman" w:eastAsia="Times New Roman" w:hAnsi="Times New Roman" w:cs="Times New Roman"/>
          <w:b/>
          <w:bCs/>
          <w:lang w:eastAsia="fr-FR"/>
        </w:rPr>
        <w:t>Analyse des résultats :</w:t>
      </w:r>
    </w:p>
    <w:p w:rsidR="005301E2" w:rsidRPr="005301E2" w:rsidRDefault="005301E2" w:rsidP="005301E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5301E2">
        <w:rPr>
          <w:rFonts w:ascii="Apple Color Emoji" w:eastAsia="Times New Roman" w:hAnsi="Apple Color Emoji" w:cs="Apple Color Emoji"/>
          <w:lang w:eastAsia="fr-FR"/>
        </w:rPr>
        <w:t>🇩</w:t>
      </w:r>
      <w:proofErr w:type="gramEnd"/>
      <w:r w:rsidRPr="005301E2">
        <w:rPr>
          <w:rFonts w:ascii="Apple Color Emoji" w:eastAsia="Times New Roman" w:hAnsi="Apple Color Emoji" w:cs="Apple Color Emoji"/>
          <w:lang w:eastAsia="fr-FR"/>
        </w:rPr>
        <w:t>🇪</w:t>
      </w:r>
      <w:r w:rsidRPr="005301E2">
        <w:rPr>
          <w:rFonts w:ascii="Times New Roman" w:eastAsia="Times New Roman" w:hAnsi="Times New Roman" w:cs="Times New Roman"/>
          <w:lang w:eastAsia="fr-FR"/>
        </w:rPr>
        <w:t xml:space="preserve"> Allemagne → courbe normalisée, pente légère.</w:t>
      </w:r>
    </w:p>
    <w:p w:rsidR="005301E2" w:rsidRPr="005301E2" w:rsidRDefault="005301E2" w:rsidP="005301E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5301E2">
        <w:rPr>
          <w:rFonts w:ascii="Apple Color Emoji" w:eastAsia="Times New Roman" w:hAnsi="Apple Color Emoji" w:cs="Apple Color Emoji"/>
          <w:lang w:eastAsia="fr-FR"/>
        </w:rPr>
        <w:t>🇫</w:t>
      </w:r>
      <w:proofErr w:type="gramEnd"/>
      <w:r w:rsidRPr="005301E2">
        <w:rPr>
          <w:rFonts w:ascii="Apple Color Emoji" w:eastAsia="Times New Roman" w:hAnsi="Apple Color Emoji" w:cs="Apple Color Emoji"/>
          <w:lang w:eastAsia="fr-FR"/>
        </w:rPr>
        <w:t>🇷</w:t>
      </w:r>
      <w:r w:rsidRPr="005301E2">
        <w:rPr>
          <w:rFonts w:ascii="Times New Roman" w:eastAsia="Times New Roman" w:hAnsi="Times New Roman" w:cs="Times New Roman"/>
          <w:lang w:eastAsia="fr-FR"/>
        </w:rPr>
        <w:t xml:space="preserve"> France → pente plus marquée.</w:t>
      </w:r>
    </w:p>
    <w:p w:rsidR="005301E2" w:rsidRPr="005301E2" w:rsidRDefault="005301E2" w:rsidP="005301E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5301E2">
        <w:rPr>
          <w:rFonts w:ascii="Apple Color Emoji" w:eastAsia="Times New Roman" w:hAnsi="Apple Color Emoji" w:cs="Apple Color Emoji"/>
          <w:lang w:eastAsia="fr-FR"/>
        </w:rPr>
        <w:t>🇺</w:t>
      </w:r>
      <w:proofErr w:type="gramEnd"/>
      <w:r w:rsidRPr="005301E2">
        <w:rPr>
          <w:rFonts w:ascii="Apple Color Emoji" w:eastAsia="Times New Roman" w:hAnsi="Apple Color Emoji" w:cs="Apple Color Emoji"/>
          <w:lang w:eastAsia="fr-FR"/>
        </w:rPr>
        <w:t>🇸</w:t>
      </w:r>
      <w:r w:rsidRPr="005301E2">
        <w:rPr>
          <w:rFonts w:ascii="Times New Roman" w:eastAsia="Times New Roman" w:hAnsi="Times New Roman" w:cs="Times New Roman"/>
          <w:lang w:eastAsia="fr-FR"/>
        </w:rPr>
        <w:t xml:space="preserve"> États-Unis → courbe inversée (politique monétaire restrictive).</w:t>
      </w:r>
    </w:p>
    <w:p w:rsidR="005301E2" w:rsidRPr="005301E2" w:rsidRDefault="00E57D98" w:rsidP="005301E2">
      <w:pPr>
        <w:rPr>
          <w:rFonts w:ascii="Times New Roman" w:eastAsia="Times New Roman" w:hAnsi="Times New Roman" w:cs="Times New Roman"/>
          <w:lang w:eastAsia="fr-FR"/>
        </w:rPr>
      </w:pPr>
      <w:r w:rsidRPr="005301E2">
        <w:rPr>
          <w:rFonts w:ascii="Times New Roman" w:eastAsia="Times New Roman" w:hAnsi="Times New Roman" w:cs="Times New Roman"/>
          <w:noProof/>
          <w:lang w:eastAsia="fr-FR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5301E2" w:rsidRPr="005301E2" w:rsidRDefault="005301E2" w:rsidP="005301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301E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4.4 Gestion de projet</w:t>
      </w:r>
    </w:p>
    <w:p w:rsidR="005301E2" w:rsidRPr="005301E2" w:rsidRDefault="005301E2" w:rsidP="005301E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5301E2">
        <w:rPr>
          <w:rFonts w:ascii="Times New Roman" w:eastAsia="Times New Roman" w:hAnsi="Times New Roman" w:cs="Times New Roman"/>
          <w:lang w:eastAsia="fr-FR"/>
        </w:rPr>
        <w:t>Équipe : 2 personnes.</w:t>
      </w:r>
    </w:p>
    <w:p w:rsidR="005301E2" w:rsidRPr="005301E2" w:rsidRDefault="005301E2" w:rsidP="005301E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5301E2">
        <w:rPr>
          <w:rFonts w:ascii="Times New Roman" w:eastAsia="Times New Roman" w:hAnsi="Times New Roman" w:cs="Times New Roman"/>
          <w:lang w:eastAsia="fr-FR"/>
        </w:rPr>
        <w:t xml:space="preserve">Organisation : </w:t>
      </w:r>
      <w:r w:rsidR="00F96376">
        <w:rPr>
          <w:rFonts w:ascii="Times New Roman" w:eastAsia="Times New Roman" w:hAnsi="Times New Roman" w:cs="Times New Roman"/>
          <w:lang w:eastAsia="fr-FR"/>
        </w:rPr>
        <w:t>pas encore faite.</w:t>
      </w:r>
    </w:p>
    <w:p w:rsidR="005301E2" w:rsidRPr="00F96376" w:rsidRDefault="005301E2" w:rsidP="00F9637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proofErr w:type="spellStart"/>
      <w:proofErr w:type="gramStart"/>
      <w:r w:rsidRPr="005301E2">
        <w:rPr>
          <w:rFonts w:ascii="Times New Roman" w:eastAsia="Times New Roman" w:hAnsi="Times New Roman" w:cs="Times New Roman"/>
          <w:lang w:val="en-US" w:eastAsia="fr-FR"/>
        </w:rPr>
        <w:t>Outils</w:t>
      </w:r>
      <w:proofErr w:type="spellEnd"/>
      <w:r w:rsidRPr="005301E2">
        <w:rPr>
          <w:rFonts w:ascii="Times New Roman" w:eastAsia="Times New Roman" w:hAnsi="Times New Roman" w:cs="Times New Roman"/>
          <w:lang w:val="en-US" w:eastAsia="fr-FR"/>
        </w:rPr>
        <w:t xml:space="preserve"> :</w:t>
      </w:r>
      <w:proofErr w:type="gramEnd"/>
      <w:r w:rsidRPr="005301E2">
        <w:rPr>
          <w:rFonts w:ascii="Times New Roman" w:eastAsia="Times New Roman" w:hAnsi="Times New Roman" w:cs="Times New Roman"/>
          <w:lang w:val="en-US" w:eastAsia="fr-FR"/>
        </w:rPr>
        <w:t xml:space="preserve"> GitHub, Visual Studio Code.</w:t>
      </w:r>
    </w:p>
    <w:sectPr w:rsidR="005301E2" w:rsidRPr="00F96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927"/>
    <w:multiLevelType w:val="multilevel"/>
    <w:tmpl w:val="3608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D1190"/>
    <w:multiLevelType w:val="multilevel"/>
    <w:tmpl w:val="076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E6549"/>
    <w:multiLevelType w:val="multilevel"/>
    <w:tmpl w:val="CB0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E06E4"/>
    <w:multiLevelType w:val="multilevel"/>
    <w:tmpl w:val="FE4A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B63C6"/>
    <w:multiLevelType w:val="multilevel"/>
    <w:tmpl w:val="B8BC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37848"/>
    <w:multiLevelType w:val="multilevel"/>
    <w:tmpl w:val="4EB8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962A9"/>
    <w:multiLevelType w:val="multilevel"/>
    <w:tmpl w:val="7DB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662D3"/>
    <w:multiLevelType w:val="multilevel"/>
    <w:tmpl w:val="F412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C2666"/>
    <w:multiLevelType w:val="multilevel"/>
    <w:tmpl w:val="9E80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F261D"/>
    <w:multiLevelType w:val="multilevel"/>
    <w:tmpl w:val="BA28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4509"/>
    <w:multiLevelType w:val="multilevel"/>
    <w:tmpl w:val="7EEE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34C55"/>
    <w:multiLevelType w:val="multilevel"/>
    <w:tmpl w:val="1BC2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06945"/>
    <w:multiLevelType w:val="multilevel"/>
    <w:tmpl w:val="AAF2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D7DDE"/>
    <w:multiLevelType w:val="multilevel"/>
    <w:tmpl w:val="E65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22A1D"/>
    <w:multiLevelType w:val="multilevel"/>
    <w:tmpl w:val="AF66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E055A"/>
    <w:multiLevelType w:val="multilevel"/>
    <w:tmpl w:val="F564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86569"/>
    <w:multiLevelType w:val="multilevel"/>
    <w:tmpl w:val="7930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0794E"/>
    <w:multiLevelType w:val="multilevel"/>
    <w:tmpl w:val="EC70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474598">
    <w:abstractNumId w:val="12"/>
  </w:num>
  <w:num w:numId="2" w16cid:durableId="1700935182">
    <w:abstractNumId w:val="2"/>
  </w:num>
  <w:num w:numId="3" w16cid:durableId="35662137">
    <w:abstractNumId w:val="11"/>
  </w:num>
  <w:num w:numId="4" w16cid:durableId="583225745">
    <w:abstractNumId w:val="4"/>
  </w:num>
  <w:num w:numId="5" w16cid:durableId="1670593232">
    <w:abstractNumId w:val="0"/>
  </w:num>
  <w:num w:numId="6" w16cid:durableId="42144398">
    <w:abstractNumId w:val="13"/>
  </w:num>
  <w:num w:numId="7" w16cid:durableId="340932655">
    <w:abstractNumId w:val="5"/>
  </w:num>
  <w:num w:numId="8" w16cid:durableId="526985666">
    <w:abstractNumId w:val="9"/>
  </w:num>
  <w:num w:numId="9" w16cid:durableId="476801431">
    <w:abstractNumId w:val="10"/>
  </w:num>
  <w:num w:numId="10" w16cid:durableId="2080204317">
    <w:abstractNumId w:val="3"/>
  </w:num>
  <w:num w:numId="11" w16cid:durableId="721097975">
    <w:abstractNumId w:val="17"/>
  </w:num>
  <w:num w:numId="12" w16cid:durableId="2003317195">
    <w:abstractNumId w:val="1"/>
  </w:num>
  <w:num w:numId="13" w16cid:durableId="1701855135">
    <w:abstractNumId w:val="6"/>
  </w:num>
  <w:num w:numId="14" w16cid:durableId="2073115075">
    <w:abstractNumId w:val="16"/>
  </w:num>
  <w:num w:numId="15" w16cid:durableId="672222175">
    <w:abstractNumId w:val="15"/>
  </w:num>
  <w:num w:numId="16" w16cid:durableId="1823040134">
    <w:abstractNumId w:val="14"/>
  </w:num>
  <w:num w:numId="17" w16cid:durableId="2012680002">
    <w:abstractNumId w:val="7"/>
  </w:num>
  <w:num w:numId="18" w16cid:durableId="4582566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FB"/>
    <w:rsid w:val="00030A9A"/>
    <w:rsid w:val="00052F11"/>
    <w:rsid w:val="00174E06"/>
    <w:rsid w:val="001E5841"/>
    <w:rsid w:val="005301E2"/>
    <w:rsid w:val="006346BF"/>
    <w:rsid w:val="006B39FB"/>
    <w:rsid w:val="007D61E2"/>
    <w:rsid w:val="008F4AFE"/>
    <w:rsid w:val="00D23187"/>
    <w:rsid w:val="00D97B1D"/>
    <w:rsid w:val="00E22F9C"/>
    <w:rsid w:val="00E57D98"/>
    <w:rsid w:val="00F31D8E"/>
    <w:rsid w:val="00F904CB"/>
    <w:rsid w:val="00F96376"/>
    <w:rsid w:val="00F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CD80"/>
  <w15:chartTrackingRefBased/>
  <w15:docId w15:val="{4D87EC21-220E-A749-BA90-0EA4F51E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46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1D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31D8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2F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1D8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31D8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31D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F31D8E"/>
    <w:rPr>
      <w:b/>
      <w:bCs/>
    </w:rPr>
  </w:style>
  <w:style w:type="character" w:styleId="Accentuation">
    <w:name w:val="Emphasis"/>
    <w:basedOn w:val="Policepardfaut"/>
    <w:uiPriority w:val="20"/>
    <w:qFormat/>
    <w:rsid w:val="00F31D8E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semiHidden/>
    <w:rsid w:val="00052F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Policepardfaut"/>
    <w:rsid w:val="00052F11"/>
  </w:style>
  <w:style w:type="character" w:customStyle="1" w:styleId="mord">
    <w:name w:val="mord"/>
    <w:basedOn w:val="Policepardfaut"/>
    <w:rsid w:val="00052F11"/>
  </w:style>
  <w:style w:type="character" w:customStyle="1" w:styleId="mopen">
    <w:name w:val="mopen"/>
    <w:basedOn w:val="Policepardfaut"/>
    <w:rsid w:val="00052F11"/>
  </w:style>
  <w:style w:type="character" w:customStyle="1" w:styleId="mclose">
    <w:name w:val="mclose"/>
    <w:basedOn w:val="Policepardfaut"/>
    <w:rsid w:val="00052F11"/>
  </w:style>
  <w:style w:type="character" w:customStyle="1" w:styleId="mrel">
    <w:name w:val="mrel"/>
    <w:basedOn w:val="Policepardfaut"/>
    <w:rsid w:val="00052F11"/>
  </w:style>
  <w:style w:type="character" w:customStyle="1" w:styleId="mbin">
    <w:name w:val="mbin"/>
    <w:basedOn w:val="Policepardfaut"/>
    <w:rsid w:val="00052F11"/>
  </w:style>
  <w:style w:type="character" w:customStyle="1" w:styleId="mop">
    <w:name w:val="mop"/>
    <w:basedOn w:val="Policepardfaut"/>
    <w:rsid w:val="00052F11"/>
  </w:style>
  <w:style w:type="character" w:customStyle="1" w:styleId="vlist-s">
    <w:name w:val="vlist-s"/>
    <w:basedOn w:val="Policepardfaut"/>
    <w:rsid w:val="00052F11"/>
  </w:style>
  <w:style w:type="character" w:customStyle="1" w:styleId="mpunct">
    <w:name w:val="mpunct"/>
    <w:basedOn w:val="Policepardfaut"/>
    <w:rsid w:val="00052F11"/>
  </w:style>
  <w:style w:type="character" w:customStyle="1" w:styleId="mtight">
    <w:name w:val="mtight"/>
    <w:basedOn w:val="Policepardfaut"/>
    <w:rsid w:val="00052F11"/>
  </w:style>
  <w:style w:type="character" w:styleId="Textedelespacerserv">
    <w:name w:val="Placeholder Text"/>
    <w:basedOn w:val="Policepardfaut"/>
    <w:uiPriority w:val="99"/>
    <w:semiHidden/>
    <w:rsid w:val="00052F1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34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634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yves-marie saliou</dc:creator>
  <cp:keywords/>
  <dc:description/>
  <cp:lastModifiedBy>yves-marie saliou</cp:lastModifiedBy>
  <cp:revision>7</cp:revision>
  <dcterms:created xsi:type="dcterms:W3CDTF">2025-10-21T10:40:00Z</dcterms:created>
  <dcterms:modified xsi:type="dcterms:W3CDTF">2025-10-22T18:51:00Z</dcterms:modified>
</cp:coreProperties>
</file>