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GUIDE</w:t>
      </w:r>
      <w:r>
        <w:t xml:space="preserve"> </w:t>
      </w:r>
      <w:r>
        <w:t xml:space="preserve">DE</w:t>
      </w:r>
      <w:r>
        <w:t xml:space="preserve"> </w:t>
      </w:r>
      <w:r>
        <w:t xml:space="preserve">PRÉSENTATION</w:t>
      </w:r>
    </w:p>
    <w:p>
      <w:pPr>
        <w:pStyle w:val="Subtitle"/>
      </w:pPr>
      <w:r>
        <w:t xml:space="preserve">Soutenance</w:t>
      </w:r>
      <w:r>
        <w:t xml:space="preserve"> </w:t>
      </w:r>
      <w:r>
        <w:t xml:space="preserve">—</w:t>
      </w:r>
      <w:r>
        <w:t xml:space="preserve"> </w:t>
      </w:r>
      <w:r>
        <w:t xml:space="preserve">Vite</w:t>
      </w:r>
      <w:r>
        <w:t xml:space="preserve"> </w:t>
      </w:r>
      <w:r>
        <w:t xml:space="preserve">&amp;</w:t>
      </w:r>
      <w:r>
        <w:t xml:space="preserve"> </w:t>
      </w:r>
      <w:r>
        <w:t xml:space="preserve">Gourmand</w:t>
      </w:r>
      <w:r>
        <w:t xml:space="preserve"> </w:t>
      </w:r>
      <w:r>
        <w:t xml:space="preserve">(Titre</w:t>
      </w:r>
      <w:r>
        <w:t xml:space="preserve"> </w:t>
      </w:r>
      <w:r>
        <w:t xml:space="preserve">DWWM)</w:t>
      </w:r>
    </w:p>
    <w:p>
      <w:pPr>
        <w:pStyle w:val="Author"/>
      </w:pPr>
      <w:r>
        <w:t xml:space="preserve">Jamesy</w:t>
      </w:r>
      <w:r>
        <w:t xml:space="preserve"> </w:t>
      </w:r>
      <w:r>
        <w:t xml:space="preserve">MUKUNA</w:t>
      </w:r>
      <w:r>
        <w:t xml:space="preserve"> </w:t>
      </w:r>
      <w:r>
        <w:t xml:space="preserve">MUKENKETAYI</w:t>
      </w:r>
    </w:p>
    <w:p>
      <w:pPr>
        <w:pStyle w:val="Date"/>
      </w:pPr>
      <w:r>
        <w:t xml:space="preserve">Session</w:t>
      </w:r>
      <w:r>
        <w:t xml:space="preserve"> </w:t>
      </w:r>
      <w:r>
        <w:t xml:space="preserve">Juin</w:t>
      </w:r>
      <w:r>
        <w:t xml:space="preserve"> </w:t>
      </w:r>
      <w:r>
        <w:t xml:space="preserve">–</w:t>
      </w:r>
      <w:r>
        <w:t xml:space="preserve"> </w:t>
      </w:r>
      <w:r>
        <w:t xml:space="preserve">Juillet</w:t>
      </w:r>
      <w:r>
        <w:t xml:space="preserve"> </w:t>
      </w:r>
      <w:r>
        <w:t xml:space="preserve">2026</w:t>
      </w:r>
    </w:p>
    <w:bookmarkStart w:id="20" w:name="objectif-de-la-soutenance"/>
    <w:p>
      <w:pPr>
        <w:pStyle w:val="Heading1"/>
      </w:pPr>
      <w:r>
        <w:t xml:space="preserve">Objectif de la soutenance</w:t>
      </w:r>
    </w:p>
    <w:p>
      <w:pPr>
        <w:pStyle w:val="FirstParagraph"/>
      </w:pPr>
      <w:r>
        <w:t xml:space="preserve">Présenter le projet</w:t>
      </w:r>
      <w:r>
        <w:t xml:space="preserve"> </w:t>
      </w:r>
      <w:r>
        <w:rPr>
          <w:bCs/>
          <w:b/>
        </w:rPr>
        <w:t xml:space="preserve">Vite &amp; Gourmand</w:t>
      </w:r>
      <w:r>
        <w:t xml:space="preserve">, démontrer l’application en production et répondre aux questions du jury, en mettant en valeur les compétences des</w:t>
      </w:r>
      <w:r>
        <w:t xml:space="preserve"> </w:t>
      </w:r>
      <w:r>
        <w:rPr>
          <w:bCs/>
          <w:b/>
        </w:rPr>
        <w:t xml:space="preserve">2 CCP du Titre DWWM</w:t>
      </w:r>
      <w:r>
        <w:t xml:space="preserve"> </w:t>
      </w:r>
      <w:r>
        <w:t xml:space="preserve">(front-end et back-end), le déploiement et la sécurité étant transversaux.</w:t>
      </w:r>
    </w:p>
    <w:bookmarkEnd w:id="20"/>
    <w:bookmarkStart w:id="21" w:name="déroulé-proposé"/>
    <w:p>
      <w:pPr>
        <w:pStyle w:val="Heading1"/>
      </w:pPr>
      <w:r>
        <w:t xml:space="preserve">Déroulé proposé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Introduction (2 min)</w:t>
      </w:r>
      <w:r>
        <w:t xml:space="preserve"> </w:t>
      </w:r>
      <w:r>
        <w:t xml:space="preserve">: contexte (traiteur événementiel à digitaliser), client Vite &amp; Gourmand, objectifs.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Stack et architecture (3 min)</w:t>
      </w:r>
      <w:r>
        <w:t xml:space="preserve"> </w:t>
      </w:r>
      <w:r>
        <w:t xml:space="preserve">: React 19 + Laravel 10 + PostgreSQL + MongoDB, architecture 3-tiers, déploiement sur VPS avec HTTPS.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Démonstration live (8-10 min)</w:t>
      </w:r>
      <w:r>
        <w:t xml:space="preserve"> </w:t>
      </w:r>
      <w:r>
        <w:t xml:space="preserve">: voir les scénarios ci-dessous.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Points forts techniques (3 min)</w:t>
      </w:r>
      <w:r>
        <w:t xml:space="preserve"> </w:t>
      </w:r>
      <w:r>
        <w:t xml:space="preserve">: règles métier, NoSQL, e-mails, sécurité, tests, RGAA.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Difficultés et apprentissages (2 min)</w:t>
      </w:r>
      <w:r>
        <w:t xml:space="preserve"> </w:t>
      </w:r>
      <w:r>
        <w:t xml:space="preserve">: la faille d’autorisation détectée par les tests, l’installation de l’extension MongoDB.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Conclusion et perspectives (1 min)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Questions du jury</w:t>
      </w:r>
      <w:r>
        <w:t xml:space="preserve">.</w:t>
      </w:r>
    </w:p>
    <w:bookmarkEnd w:id="21"/>
    <w:bookmarkStart w:id="27" w:name="scénarios-de-démonstration"/>
    <w:p>
      <w:pPr>
        <w:pStyle w:val="Heading1"/>
      </w:pPr>
      <w:r>
        <w:t xml:space="preserve">Scénarios de démonstration</w:t>
      </w:r>
    </w:p>
    <w:bookmarkStart w:id="22" w:name="scénario-1-parcours-client"/>
    <w:p>
      <w:pPr>
        <w:pStyle w:val="Heading2"/>
      </w:pPr>
      <w:r>
        <w:t xml:space="preserve">Scénario 1 — Parcours client</w:t>
      </w:r>
    </w:p>
    <w:p>
      <w:pPr>
        <w:numPr>
          <w:ilvl w:val="0"/>
          <w:numId w:val="1002"/>
        </w:numPr>
        <w:pStyle w:val="Compact"/>
      </w:pPr>
      <w:r>
        <w:t xml:space="preserve">Consulter les menus avec filtres (thème, régime).</w:t>
      </w:r>
    </w:p>
    <w:p>
      <w:pPr>
        <w:numPr>
          <w:ilvl w:val="0"/>
          <w:numId w:val="1002"/>
        </w:numPr>
        <w:pStyle w:val="Compact"/>
      </w:pPr>
      <w:r>
        <w:t xml:space="preserve">Commander un menu : observer le</w:t>
      </w:r>
      <w:r>
        <w:t xml:space="preserve"> </w:t>
      </w:r>
      <w:r>
        <w:rPr>
          <w:bCs/>
          <w:b/>
        </w:rPr>
        <w:t xml:space="preserve">prix calculé en temps réel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Consulter « Mes commandes » et annuler une commande « en attente ».</w:t>
      </w:r>
    </w:p>
    <w:bookmarkEnd w:id="22"/>
    <w:bookmarkStart w:id="23" w:name="scénario-2-espace-employé"/>
    <w:p>
      <w:pPr>
        <w:pStyle w:val="Heading2"/>
      </w:pPr>
      <w:r>
        <w:t xml:space="preserve">Scénario 2 — Espace employé</w:t>
      </w:r>
    </w:p>
    <w:p>
      <w:pPr>
        <w:numPr>
          <w:ilvl w:val="0"/>
          <w:numId w:val="1003"/>
        </w:numPr>
        <w:pStyle w:val="Compact"/>
      </w:pPr>
      <w:r>
        <w:t xml:space="preserve">Se connecter en employé, ouvrir le dashboard.</w:t>
      </w:r>
    </w:p>
    <w:p>
      <w:pPr>
        <w:numPr>
          <w:ilvl w:val="0"/>
          <w:numId w:val="1003"/>
        </w:numPr>
        <w:pStyle w:val="Compact"/>
      </w:pPr>
      <w:r>
        <w:t xml:space="preserve">Faire évoluer le</w:t>
      </w:r>
      <w:r>
        <w:t xml:space="preserve"> </w:t>
      </w:r>
      <w:r>
        <w:rPr>
          <w:bCs/>
          <w:b/>
        </w:rPr>
        <w:t xml:space="preserve">statut</w:t>
      </w:r>
      <w:r>
        <w:t xml:space="preserve"> </w:t>
      </w:r>
      <w:r>
        <w:t xml:space="preserve">d’une commande (workflow).</w:t>
      </w:r>
    </w:p>
    <w:p>
      <w:pPr>
        <w:numPr>
          <w:ilvl w:val="0"/>
          <w:numId w:val="1003"/>
        </w:numPr>
        <w:pStyle w:val="Compact"/>
      </w:pPr>
      <w:r>
        <w:t xml:space="preserve">Valider ou rejeter un avis.</w:t>
      </w:r>
    </w:p>
    <w:bookmarkEnd w:id="23"/>
    <w:bookmarkStart w:id="24" w:name="scénario-3-espace-administrateur"/>
    <w:p>
      <w:pPr>
        <w:pStyle w:val="Heading2"/>
      </w:pPr>
      <w:r>
        <w:t xml:space="preserve">Scénario 3 — Espace administrateur</w:t>
      </w:r>
    </w:p>
    <w:p>
      <w:pPr>
        <w:numPr>
          <w:ilvl w:val="0"/>
          <w:numId w:val="1004"/>
        </w:numPr>
        <w:pStyle w:val="Compact"/>
      </w:pPr>
      <w:r>
        <w:t xml:space="preserve">Créer un compte employé (l’employé reçoit un e-mail, sans mot de passe en clair).</w:t>
      </w:r>
    </w:p>
    <w:p>
      <w:pPr>
        <w:numPr>
          <w:ilvl w:val="0"/>
          <w:numId w:val="1004"/>
        </w:numPr>
        <w:pStyle w:val="Compact"/>
      </w:pPr>
      <w:r>
        <w:t xml:space="preserve">Consulter les</w:t>
      </w:r>
      <w:r>
        <w:t xml:space="preserve"> </w:t>
      </w:r>
      <w:r>
        <w:rPr>
          <w:bCs/>
          <w:b/>
        </w:rPr>
        <w:t xml:space="preserve">statistiques NoSQL</w:t>
      </w:r>
      <w:r>
        <w:t xml:space="preserve"> </w:t>
      </w:r>
      <w:r>
        <w:t xml:space="preserve">: nombre de commandes et CA par menu, graphique, filtre par période.</w:t>
      </w:r>
    </w:p>
    <w:bookmarkEnd w:id="24"/>
    <w:bookmarkStart w:id="25" w:name="X208ca9d4279c00570f2ab5a703a9ede2028149c"/>
    <w:p>
      <w:pPr>
        <w:pStyle w:val="Heading2"/>
      </w:pPr>
      <w:r>
        <w:t xml:space="preserve">Scénario 4 — Règles métier (à montrer ou expliquer)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Remise automatique</w:t>
      </w:r>
      <w:r>
        <w:t xml:space="preserve"> </w:t>
      </w:r>
      <w:r>
        <w:t xml:space="preserve">: commander une quantité ≥ minimum + 5 → remise de 10 %.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Frais de livraison</w:t>
      </w:r>
      <w:r>
        <w:t xml:space="preserve"> </w:t>
      </w:r>
      <w:r>
        <w:t xml:space="preserve">: 5 € + 0,59 €/km (ex. 10 km → 5 + 5,90 = 10,90 €).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Stock insuffisant</w:t>
      </w:r>
      <w:r>
        <w:t xml:space="preserve"> </w:t>
      </w:r>
      <w:r>
        <w:t xml:space="preserve">: tentative de commande → message d’erreur.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Annulation</w:t>
      </w:r>
      <w:r>
        <w:t xml:space="preserve"> </w:t>
      </w:r>
      <w:r>
        <w:t xml:space="preserve">: possible uniquement au statut « en attente ».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Mot de passe faible</w:t>
      </w:r>
      <w:r>
        <w:t xml:space="preserve"> </w:t>
      </w:r>
      <w:r>
        <w:t xml:space="preserve">: refusé à l’inscription (≥ 10 caractères, casse, chiffre, symbole).</w:t>
      </w:r>
    </w:p>
    <w:bookmarkEnd w:id="25"/>
    <w:bookmarkStart w:id="26" w:name="Xdababc60663464abf5c7daf0e38610e8973c4b2"/>
    <w:p>
      <w:pPr>
        <w:pStyle w:val="Heading2"/>
      </w:pPr>
      <w:r>
        <w:t xml:space="preserve">E-mails transactionnels (Resend) à mentionner</w:t>
      </w:r>
    </w:p>
    <w:p>
      <w:pPr>
        <w:pStyle w:val="FirstParagraph"/>
      </w:pPr>
      <w:r>
        <w:t xml:space="preserve">Bienvenue (inscription) · confirmation de commande · commande terminée (invitation à l’avis) · rappel de retour matériel (caution 600 €) · création de compte employé.</w:t>
      </w:r>
    </w:p>
    <w:bookmarkEnd w:id="26"/>
    <w:bookmarkEnd w:id="27"/>
    <w:bookmarkStart w:id="28" w:name="points-forts-à-mettre-en-avant"/>
    <w:p>
      <w:pPr>
        <w:pStyle w:val="Heading1"/>
      </w:pPr>
      <w:r>
        <w:t xml:space="preserve">Points forts à mettre en avant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Double base de données</w:t>
      </w:r>
      <w:r>
        <w:t xml:space="preserve"> </w:t>
      </w:r>
      <w:r>
        <w:t xml:space="preserve">: PostgreSQL (relationnel) + MongoDB (NoSQL pour les statistiques).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Sécurité</w:t>
      </w:r>
      <w:r>
        <w:t xml:space="preserve"> </w:t>
      </w:r>
      <w:r>
        <w:t xml:space="preserve">: authentification par tokens (Sanctum), validation stricte,</w:t>
      </w:r>
      <w:r>
        <w:t xml:space="preserve"> </w:t>
      </w:r>
      <w:r>
        <w:rPr>
          <w:bCs/>
          <w:b/>
        </w:rPr>
        <w:t xml:space="preserve">contrôle d’accès par rôle</w:t>
      </w:r>
      <w:r>
        <w:t xml:space="preserve"> </w:t>
      </w:r>
      <w:r>
        <w:t xml:space="preserve">(middleware</w:t>
      </w:r>
      <w:r>
        <w:t xml:space="preserve"> </w:t>
      </w:r>
      <w:r>
        <w:rPr>
          <w:rStyle w:val="VerbatimChar"/>
        </w:rPr>
        <w:t xml:space="preserve">CheckRole</w:t>
      </w:r>
      <w:r>
        <w:t xml:space="preserve">), HTTPS.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Tests automatisés</w:t>
      </w:r>
      <w:r>
        <w:t xml:space="preserve"> </w:t>
      </w:r>
      <w:r>
        <w:t xml:space="preserve">:</w:t>
      </w:r>
      <w:r>
        <w:t xml:space="preserve"> </w:t>
      </w:r>
      <w:r>
        <w:rPr>
          <w:bCs/>
          <w:b/>
        </w:rPr>
        <w:t xml:space="preserve">18 tests</w:t>
      </w:r>
      <w:r>
        <w:t xml:space="preserve"> </w:t>
      </w:r>
      <w:r>
        <w:t xml:space="preserve">(PHPUnit, base SQLite en mémoire).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Accessibilité RGAA</w:t>
      </w:r>
      <w:r>
        <w:t xml:space="preserve"> </w:t>
      </w:r>
      <w:r>
        <w:t xml:space="preserve">sur les pages principales.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Déploiement</w:t>
      </w:r>
      <w:r>
        <w:t xml:space="preserve"> </w:t>
      </w:r>
      <w:r>
        <w:t xml:space="preserve">maîtrisé sur VPS (Nginx, PHP-FPM, SSL).</w:t>
      </w:r>
    </w:p>
    <w:bookmarkEnd w:id="28"/>
    <w:bookmarkStart w:id="29" w:name="X16c041c59302518f59ea683e16a7200488da264"/>
    <w:p>
      <w:pPr>
        <w:pStyle w:val="Heading1"/>
      </w:pPr>
      <w:r>
        <w:t xml:space="preserve">Argument fort : la faille corrigée grâce aux tests</w:t>
      </w:r>
    </w:p>
    <w:p>
      <w:pPr>
        <w:pStyle w:val="FirstParagraph"/>
      </w:pPr>
      <w:r>
        <w:t xml:space="preserve">À raconter au jury : l’exécution des tests a révélé que les routes d’administration n’imposaient</w:t>
      </w:r>
      <w:r>
        <w:t xml:space="preserve"> </w:t>
      </w:r>
      <w:r>
        <w:rPr>
          <w:bCs/>
          <w:b/>
        </w:rPr>
        <w:t xml:space="preserve">pas</w:t>
      </w:r>
      <w:r>
        <w:t xml:space="preserve"> </w:t>
      </w:r>
      <w:r>
        <w:t xml:space="preserve">de contrôle de rôle — un utilisateur simple pouvait créer un menu (réponse 201 au lieu de 403). J’ai créé un</w:t>
      </w:r>
      <w:r>
        <w:t xml:space="preserve"> </w:t>
      </w:r>
      <w:r>
        <w:rPr>
          <w:bCs/>
          <w:b/>
        </w:rPr>
        <w:t xml:space="preserve">middleware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CheckRole</w:t>
      </w:r>
      <w:r>
        <w:t xml:space="preserve"> </w:t>
      </w:r>
      <w:r>
        <w:t xml:space="preserve">; après correction, les</w:t>
      </w:r>
      <w:r>
        <w:t xml:space="preserve"> </w:t>
      </w:r>
      <w:r>
        <w:rPr>
          <w:bCs/>
          <w:b/>
        </w:rPr>
        <w:t xml:space="preserve">18 tests</w:t>
      </w:r>
      <w:r>
        <w:t xml:space="preserve"> </w:t>
      </w:r>
      <w:r>
        <w:t xml:space="preserve">passent. C’est une illustration concrète de la valeur des tests pour la sécurité (broken access control, OWASP A01).</w:t>
      </w:r>
    </w:p>
    <w:bookmarkEnd w:id="29"/>
    <w:bookmarkStart w:id="30" w:name="pense-bête-accessibilité-rgaa"/>
    <w:p>
      <w:pPr>
        <w:pStyle w:val="Heading1"/>
      </w:pPr>
      <w:r>
        <w:t xml:space="preserve">Pense-bête accessibilité (RGAA)</w:t>
      </w:r>
    </w:p>
    <w:p>
      <w:pPr>
        <w:pStyle w:val="FirstParagraph"/>
      </w:pPr>
      <w:r>
        <w:t xml:space="preserve">Langue</w:t>
      </w:r>
      <w:r>
        <w:t xml:space="preserve"> </w:t>
      </w:r>
      <w:r>
        <w:rPr>
          <w:rStyle w:val="VerbatimChar"/>
        </w:rPr>
        <w:t xml:space="preserve">fr</w:t>
      </w:r>
      <w:r>
        <w:t xml:space="preserve"> </w:t>
      </w:r>
      <w:r>
        <w:t xml:space="preserve">et titre de page (8.3/8.5) · labels de formulaires reliés (11.1) · erreurs annoncées</w:t>
      </w:r>
      <w:r>
        <w:t xml:space="preserve"> </w:t>
      </w:r>
      <w:r>
        <w:rPr>
          <w:rStyle w:val="VerbatimChar"/>
        </w:rPr>
        <w:t xml:space="preserve">role="alert"</w:t>
      </w:r>
      <w:r>
        <w:t xml:space="preserve"> </w:t>
      </w:r>
      <w:r>
        <w:t xml:space="preserve">(11.10) · hiérarchie de titres (9.1) · repères</w:t>
      </w:r>
      <w:r>
        <w:t xml:space="preserve"> </w:t>
      </w:r>
      <w:r>
        <w:rPr>
          <w:rStyle w:val="VerbatimChar"/>
        </w:rPr>
        <w:t xml:space="preserve">nav</w:t>
      </w:r>
      <w:r>
        <w:t xml:space="preserve">/</w:t>
      </w:r>
      <w:r>
        <w:rPr>
          <w:rStyle w:val="VerbatimChar"/>
        </w:rPr>
        <w:t xml:space="preserve">main</w:t>
      </w:r>
      <w:r>
        <w:t xml:space="preserve">/</w:t>
      </w:r>
      <w:r>
        <w:rPr>
          <w:rStyle w:val="VerbatimChar"/>
        </w:rPr>
        <w:t xml:space="preserve">footer</w:t>
      </w:r>
      <w:r>
        <w:t xml:space="preserve"> </w:t>
      </w:r>
      <w:r>
        <w:t xml:space="preserve">+</w:t>
      </w:r>
      <w:r>
        <w:t xml:space="preserve"> </w:t>
      </w:r>
      <w:r>
        <w:rPr>
          <w:bCs/>
          <w:b/>
        </w:rPr>
        <w:t xml:space="preserve">lien d’évitement</w:t>
      </w:r>
      <w:r>
        <w:t xml:space="preserve"> </w:t>
      </w:r>
      <w:r>
        <w:t xml:space="preserve">(12.6/12.7) · bouton menu avec</w:t>
      </w:r>
      <w:r>
        <w:t xml:space="preserve"> </w:t>
      </w:r>
      <w:r>
        <w:rPr>
          <w:rStyle w:val="VerbatimChar"/>
        </w:rPr>
        <w:t xml:space="preserve">aria-label</w:t>
      </w:r>
      <w:r>
        <w:t xml:space="preserve">/</w:t>
      </w:r>
      <w:r>
        <w:rPr>
          <w:rStyle w:val="VerbatimChar"/>
        </w:rPr>
        <w:t xml:space="preserve">aria-expanded</w:t>
      </w:r>
      <w:r>
        <w:t xml:space="preserve"> </w:t>
      </w:r>
      <w:r>
        <w:t xml:space="preserve">· contrastes 4,5:1 (3.2).</w:t>
      </w:r>
    </w:p>
    <w:p>
      <w:pPr>
        <w:pStyle w:val="BodyText"/>
      </w:pPr>
      <w:r>
        <w:rPr>
          <w:bCs/>
          <w:b/>
        </w:rPr>
        <w:t xml:space="preserve">Démo qui marque les points :</w:t>
      </w:r>
      <w:r>
        <w:t xml:space="preserve"> </w:t>
      </w:r>
      <w:r>
        <w:t xml:space="preserve">appuyer sur</w:t>
      </w:r>
      <w:r>
        <w:t xml:space="preserve"> </w:t>
      </w:r>
      <w:r>
        <w:rPr>
          <w:bCs/>
          <w:b/>
        </w:rPr>
        <w:t xml:space="preserve">Tab</w:t>
      </w:r>
      <w:r>
        <w:t xml:space="preserve"> </w:t>
      </w:r>
      <w:r>
        <w:t xml:space="preserve">dès l’ouverture du site → le lien « Aller au contenu » apparaît ; montrer l’onglet</w:t>
      </w:r>
      <w:r>
        <w:t xml:space="preserve"> </w:t>
      </w:r>
      <w:r>
        <w:rPr>
          <w:iCs/>
          <w:i/>
        </w:rPr>
        <w:t xml:space="preserve">Accessibilité</w:t>
      </w:r>
      <w:r>
        <w:t xml:space="preserve"> </w:t>
      </w:r>
      <w:r>
        <w:t xml:space="preserve">/ Lighthouse des DevTools.</w:t>
      </w:r>
    </w:p>
    <w:bookmarkEnd w:id="30"/>
    <w:bookmarkStart w:id="31" w:name="X3a2846a5be321aa3ba19e9683c5807b9329abd3"/>
    <w:p>
      <w:pPr>
        <w:pStyle w:val="Heading1"/>
      </w:pPr>
      <w:r>
        <w:t xml:space="preserve">Questions probables du jury et pistes de réponse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Pourquoi deux bases de données ?</w:t>
      </w:r>
      <w:r>
        <w:t xml:space="preserve"> </w:t>
      </w:r>
      <w:r>
        <w:t xml:space="preserve">PostgreSQL pour les données transactionnelles structurées (intégrité), MongoDB pour des agrégats statistiques dénormalisés lus fréquemment.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Comment sécurisez-vous l’API ?</w:t>
      </w:r>
      <w:r>
        <w:t xml:space="preserve"> </w:t>
      </w:r>
      <w:r>
        <w:t xml:space="preserve">Tokens Sanctum, HTTPS, validation FormRequests, middleware de rôle, rate limiting, headers de sécurité.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Comment gérez-vous le RGPD ?</w:t>
      </w:r>
      <w:r>
        <w:t xml:space="preserve"> </w:t>
      </w:r>
      <w:r>
        <w:t xml:space="preserve">Consentement explicite, export JSON, droit à l’oubli (suppression en cascade).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Quelle a été la principale difficulté ?</w:t>
      </w:r>
      <w:r>
        <w:t xml:space="preserve"> </w:t>
      </w:r>
      <w:r>
        <w:t xml:space="preserve">La faille d’autorisation détectée par les tests, corrigée par un middleware de rôle.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Quelles évolutions ?</w:t>
      </w:r>
      <w:r>
        <w:t xml:space="preserve"> </w:t>
      </w:r>
      <w:r>
        <w:t xml:space="preserve">Paiement en ligne, automatisation de la caution (cron), statistiques prédictives, CI/CD.</w:t>
      </w:r>
    </w:p>
    <w:bookmarkEnd w:id="31"/>
    <w:bookmarkStart w:id="32" w:name="conseils-pratiques"/>
    <w:p>
      <w:pPr>
        <w:pStyle w:val="Heading1"/>
      </w:pPr>
      <w:r>
        <w:t xml:space="preserve">Conseils pratiques</w:t>
      </w:r>
    </w:p>
    <w:p>
      <w:pPr>
        <w:numPr>
          <w:ilvl w:val="0"/>
          <w:numId w:val="1008"/>
        </w:numPr>
        <w:pStyle w:val="Compact"/>
      </w:pPr>
      <w:r>
        <w:t xml:space="preserve">Vérifier</w:t>
      </w:r>
      <w:r>
        <w:t xml:space="preserve"> </w:t>
      </w:r>
      <w:r>
        <w:rPr>
          <w:bCs/>
          <w:b/>
        </w:rPr>
        <w:t xml:space="preserve">avant</w:t>
      </w:r>
      <w:r>
        <w:t xml:space="preserve"> </w:t>
      </w:r>
      <w:r>
        <w:t xml:space="preserve">la soutenance : site en ligne, comptes de démo valides, commandes de test présentes.</w:t>
      </w:r>
    </w:p>
    <w:p>
      <w:pPr>
        <w:numPr>
          <w:ilvl w:val="0"/>
          <w:numId w:val="1008"/>
        </w:numPr>
        <w:pStyle w:val="Compact"/>
      </w:pPr>
      <w:r>
        <w:t xml:space="preserve">Préparer un</w:t>
      </w:r>
      <w:r>
        <w:t xml:space="preserve"> </w:t>
      </w:r>
      <w:r>
        <w:rPr>
          <w:bCs/>
          <w:b/>
        </w:rPr>
        <w:t xml:space="preserve">plan B</w:t>
      </w:r>
      <w:r>
        <w:t xml:space="preserve"> </w:t>
      </w:r>
      <w:r>
        <w:t xml:space="preserve">(captures d’écran) en cas de coupure réseau.</w:t>
      </w:r>
    </w:p>
    <w:p>
      <w:pPr>
        <w:numPr>
          <w:ilvl w:val="0"/>
          <w:numId w:val="1008"/>
        </w:numPr>
        <w:pStyle w:val="Compact"/>
      </w:pPr>
      <w:r>
        <w:t xml:space="preserve">Parler en termes de</w:t>
      </w:r>
      <w:r>
        <w:t xml:space="preserve"> </w:t>
      </w:r>
      <w:r>
        <w:rPr>
          <w:bCs/>
          <w:b/>
        </w:rPr>
        <w:t xml:space="preserve">compétences</w:t>
      </w:r>
      <w:r>
        <w:t xml:space="preserve"> </w:t>
      </w:r>
      <w:r>
        <w:t xml:space="preserve">(CCP1 front, CCP2 back) et de</w:t>
      </w:r>
      <w:r>
        <w:t xml:space="preserve"> </w:t>
      </w:r>
      <w:r>
        <w:rPr>
          <w:bCs/>
          <w:b/>
        </w:rPr>
        <w:t xml:space="preserve">choix justifiés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Rester simple : montrer, puis expliquer le « pourquoi ».</w:t>
      </w:r>
    </w:p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f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 DE PRÉSENTATION</dc:title>
  <dc:creator>Jamesy MUKUNA MUKENKETAYI</dc:creator>
  <dc:language>fr</dc:language>
  <cp:keywords/>
  <dcterms:created xsi:type="dcterms:W3CDTF">2026-06-18T14:24:04Z</dcterms:created>
  <dcterms:modified xsi:type="dcterms:W3CDTF">2026-06-18T14:24:04Z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Session Juin – Juillet 2026</vt:lpwstr>
  </property>
  <property fmtid="{D5CDD505-2E9C-101B-9397-08002B2CF9AE}" pid="3" name="subtitle">
    <vt:lpwstr>Soutenance — Vite &amp; Gourmand (Titre DWWM)</vt:lpwstr>
  </property>
</Properties>
</file>