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Arial Unicode MS" w:hAnsi="Arial Unicode MS"/>
                <w:b/>
                <w:sz w:val="21"/>
              </w:rPr>
              <w:t>PROCURAÇÃO</w:t>
            </w:r>
          </w:p>
        </w:tc>
        <w:tc>
          <w:tcPr>
            <w:tcW w:type="dxa" w:w="4320"/>
          </w:tcPr>
          <w:p>
            <w:pPr>
              <w:jc w:val="center"/>
            </w:pPr>
            <w:r>
              <w:rPr>
                <w:rFonts w:ascii="Arial Unicode MS" w:hAnsi="Arial Unicode MS"/>
                <w:b/>
                <w:sz w:val="21"/>
              </w:rPr>
              <w:t>POWER OF ATTORNEY</w:t>
            </w:r>
          </w:p>
        </w:tc>
      </w:tr>
      <w:tr>
        <w:tc>
          <w:tcPr>
            <w:tcW w:type="dxa" w:w="4320"/>
          </w:tcPr>
          <w:p>
            <w:pPr>
              <w:spacing w:after="120"/>
            </w:pPr>
            <w:r>
              <w:rPr>
                <w:rFonts w:ascii="Arial Unicode MS" w:hAnsi="Arial Unicode MS"/>
                <w:b w:val="0"/>
                <w:sz w:val="21"/>
              </w:rPr>
              <w:t>Augusto Requena, na qualidade de director da sociedade Requena Design Ltd, sociedade de responsabilidade limitada, constituída e registada no Reino Unido com o número de registo 15832947, com sede registada em 45 Shoreditch High Street, London, E1 6JE, United Kingdom, que não é meu gestor de bens e direitos, constituo meus bastante procuradores, o Dr. Yves Sammy Lopes Santana, que também assina Yves Santana, casado, de nacionalidade portuguesa, natural de Aracaju, Sergipe, Brasil, portador do cartão de cidadão nº 32935729 8 ZZ6, com data de validade até 03 de agosto de 2031, portador do NIF 286728982, inscrito perante a ordem dos advogados sob o nº 59408L, a Dra. Leonor Gomes de Oliveira Xavier, que também assina Leonor Xavier, divorciada, de nacionalidade portuguesa, natural da freguesia de São Domingos de Benfica, concelho de Lisboa, portadora do cartão de cidadão nº 11163058 4 ZX4, com data de validade até 09 de novembro de 2028, portadora do NIF 194922286, inscrita perante a Ordem dos Advogados sob o nº 12450L e Nuno Miguel Monteiro Almodovar, que também assina Nuno Almodovar, solteiro, de nacionalidade portuguesa, natural da freguesia de Afonsoeiro, concelho de Montijo, portador do cartão de cidadão nº 14153894 5 ZX7, com data de validade até 03 de agosto de 2031, portador do NIF 262720655, todos com domicílio profissional sito à Avenida 24 de Julho, nº 98, 3º piso, Estúdio 3.15, freguesia de Estrela, Concelho de Lisboa, 1200-870, a quem confio todos os poderes necessários para:</w:t>
            </w:r>
          </w:p>
        </w:tc>
        <w:tc>
          <w:tcPr>
            <w:tcW w:type="dxa" w:w="4320"/>
          </w:tcPr>
          <w:p>
            <w:pPr>
              <w:spacing w:after="120"/>
            </w:pPr>
            <w:r>
              <w:rPr>
                <w:rFonts w:ascii="Arial Unicode MS" w:hAnsi="Arial Unicode MS"/>
                <w:b w:val="0"/>
                <w:sz w:val="21"/>
              </w:rPr>
              <w:t>Augusto Requena, in the capacity of director of Requena Design Ltd, a limited liability company incorporated and registered in the United Kingdom under registration number 15832947, with its registered office at 45 Shoreditch High Street, London, E1 6JE, United Kingdom, who is not a manager of my property and rights, hereby appoints as lawful attorneys-in-fact Dr. Yves Sammy Lopes Santana (also signing as Yves Santana), married, Portuguese national, born in Aracaju, Sergipe, Brazil, holder of Citizen Card No. 32935729 8 ZZ6, valid until 3 August 2031, holder of NIF 286728982, registered with the Portuguese Bar Association under No. 59408L; Dr. Leonor Gomes de Oliveira Xavier (also signing as Leonor Xavier), divorced, Portuguese national, born in the parish of São Domingos de Benfica, municipality of Lisbon, holder of Citizen Card No. 11163058 4 ZX4, valid until 9 November 2028, holder of NIF 194922286, registered with the Portuguese Bar Association under No. 12450L and Mr. Nuno Miguel Monteiro Almodovar (also signing as Nuno Almodovar), single, Portuguese national, born in the parish of Afonsoeiro, municipality of Montijo, holder of Citizen Card No. 14153894 5 ZX7, valid until 3 August 2031, holder of NIF 262720655, all with their professional address at Avenida 24 de Julho, No. 98, 3rd floor, Studio 3.15, parish of Estrela, Municipality of Lisbon, 1200-870, to whom I grant all powers necessary to:</w:t>
            </w:r>
          </w:p>
        </w:tc>
      </w:tr>
      <w:tr>
        <w:tc>
          <w:tcPr>
            <w:tcW w:type="dxa" w:w="4320"/>
          </w:tcPr>
          <w:p>
            <w:pPr>
              <w:spacing w:after="120"/>
            </w:pPr>
            <w:r>
              <w:rPr>
                <w:rFonts w:ascii="Arial Unicode MS" w:hAnsi="Arial Unicode MS"/>
                <w:b w:val="0"/>
                <w:sz w:val="21"/>
              </w:rPr>
              <w:t>1. Constituir uma sociedade comercial, com sede no concelho de Lisboa, com o capital social de mil euros (EUR 1.000,00), integralmente realizado em dinheiro e a depositar no prazo de cinco dias após a constituição, na qual a Requena Design Ltd subscreverá uma quota no valor nominal de mil euros (EUR 1.000,00), sendo nomeada gerente MARIANA FERREIRA LOPES, portadora do NIF [A ATRIBUIR], a qual obriga a sociedade através da necessária intervenção de um único gerente, concedendo-lhes ainda poderes para escolher a firma e o objecto, que entenderem, podendo escolher e assinar o respectivo pacto constitutivo, e praticar todos os actos necessários à constituição da sociedade, podendo deliberar sobre outras matérias relacionadas com a constituição, designadamente, mas não se limitando a: órgãos sociais, remuneração dos gerentes e capital social da sociedade a constituir;</w:t>
            </w:r>
          </w:p>
        </w:tc>
        <w:tc>
          <w:tcPr>
            <w:tcW w:type="dxa" w:w="4320"/>
          </w:tcPr>
          <w:p>
            <w:pPr>
              <w:spacing w:after="120"/>
            </w:pPr>
            <w:r>
              <w:rPr>
                <w:rFonts w:ascii="Arial Unicode MS" w:hAnsi="Arial Unicode MS"/>
                <w:b w:val="0"/>
                <w:sz w:val="21"/>
              </w:rPr>
              <w:t>1. To incorporate a commercial company with registered office in the municipality of Lisbon, with a share capital of one thousand euros (EUR 1,000.00), fully paid in cash and to be deposited within five days after incorporation, in which Requena Design Ltd shall subscribe for a quota with a nominal value of one thousand euros (EUR 1,000.00), with MARIANA FERREIRA LOPES appointed as manager (holder of NIF [TO BE ASSIGNED]). The company shall be bound by the necessary action of a sole manager. The attorneys-in-fact are further authorized to choose the company name and corporate object/purpose as they deem fit, to select and sign the respective articles of association, and to perform all acts necessary for the incorporation of the company;</w:t>
            </w:r>
          </w:p>
        </w:tc>
      </w:tr>
      <w:tr>
        <w:tc>
          <w:tcPr>
            <w:tcW w:type="dxa" w:w="4320"/>
          </w:tcPr>
          <w:p>
            <w:pPr>
              <w:spacing w:after="120"/>
            </w:pPr>
            <w:r>
              <w:rPr>
                <w:rFonts w:ascii="Arial Unicode MS" w:hAnsi="Arial Unicode MS"/>
                <w:b w:val="0"/>
                <w:sz w:val="21"/>
              </w:rPr>
              <w:t>2. Representação junto da Conservatória do Registo Comercial, onde poderão requerer quaisquer actos de registo provisórios ou definitivos, assinar declarações fiscais, quer de início de actividade quer das suas alterações, bem como requerimentos junto da Segurança Social e bem assim requerer, praticar e assinar tudo o que se tome necessário aos indicados fins;</w:t>
            </w:r>
          </w:p>
        </w:tc>
        <w:tc>
          <w:tcPr>
            <w:tcW w:type="dxa" w:w="4320"/>
          </w:tcPr>
          <w:p>
            <w:pPr>
              <w:spacing w:after="120"/>
            </w:pPr>
            <w:r>
              <w:rPr>
                <w:rFonts w:ascii="Arial Unicode MS" w:hAnsi="Arial Unicode MS"/>
                <w:b w:val="0"/>
                <w:sz w:val="21"/>
              </w:rPr>
              <w:t>2. To represent before the Commercial Registry Office, where they may request any provisional or definitive registration acts, sign tax declarations both for commencement of activity and for its amendments, as well as file applications with the Social Security authorities;</w:t>
            </w:r>
          </w:p>
        </w:tc>
      </w:tr>
      <w:tr>
        <w:tc>
          <w:tcPr>
            <w:tcW w:type="dxa" w:w="4320"/>
          </w:tcPr>
          <w:p>
            <w:pPr>
              <w:spacing w:after="120"/>
            </w:pPr>
            <w:r>
              <w:rPr>
                <w:rFonts w:ascii="Arial Unicode MS" w:hAnsi="Arial Unicode MS"/>
                <w:b w:val="0"/>
                <w:sz w:val="21"/>
              </w:rPr>
              <w:t>3. Proceder e acompanhar os processos relacionados com a constituição da sociedade, executando e outorgando todos os atos necessários junto de, nomeadamente, mas não limitado ao Registo Nacional de Pessoas Coletivas, Serviço "Empresa na Hora", Autoridade Tributária e Aduaneira, e preencher qualquer formulário, entregar e assinar qualquer documento junto de quaisquer outras Autoridades Públicas ou privadas, conforme necessário e praticar todos os atos necessários à constituição da sociedade;</w:t>
            </w:r>
          </w:p>
        </w:tc>
        <w:tc>
          <w:tcPr>
            <w:tcW w:type="dxa" w:w="4320"/>
          </w:tcPr>
          <w:p>
            <w:pPr>
              <w:spacing w:after="120"/>
            </w:pPr>
            <w:r>
              <w:rPr>
                <w:rFonts w:ascii="Arial Unicode MS" w:hAnsi="Arial Unicode MS"/>
                <w:b w:val="0"/>
                <w:sz w:val="21"/>
              </w:rPr>
              <w:t>3. To carry out and follow up all procedures relating to the incorporation of the company, executing and granting all acts necessary before, namely but not limited to, the National Register of Legal Persons, the "Empresa na Hora" service, the Tax and Customs Authority, and to complete any form, deliver and sign any document before any other public or private authorities as required;</w:t>
            </w:r>
          </w:p>
        </w:tc>
      </w:tr>
      <w:tr>
        <w:tc>
          <w:tcPr>
            <w:tcW w:type="dxa" w:w="4320"/>
          </w:tcPr>
          <w:p>
            <w:pPr>
              <w:spacing w:after="120"/>
            </w:pPr>
            <w:r>
              <w:rPr>
                <w:rFonts w:ascii="Arial Unicode MS" w:hAnsi="Arial Unicode MS"/>
                <w:b w:val="0"/>
                <w:sz w:val="21"/>
              </w:rPr>
              <w:t>4. Comparecer perante qualquer Notário Público ou qualquer outra entidade pública oficial para praticar e entregar o que necessário for, sob a forma de instrumento público ou privado, podendo proceder aos registos necessários e praticar todos os atos necessários para realizar o acima mencionado;</w:t>
            </w:r>
          </w:p>
        </w:tc>
        <w:tc>
          <w:tcPr>
            <w:tcW w:type="dxa" w:w="4320"/>
          </w:tcPr>
          <w:p>
            <w:pPr>
              <w:spacing w:after="120"/>
            </w:pPr>
            <w:r>
              <w:rPr>
                <w:rFonts w:ascii="Arial Unicode MS" w:hAnsi="Arial Unicode MS"/>
                <w:b w:val="0"/>
                <w:sz w:val="21"/>
              </w:rPr>
              <w:t>4. To appear before any Notary Public or any other official public entity to execute and deliver whatever is necessary, in the form of public or private instruments, to carry out the necessary registrations and to perform all acts necessary to effect the foregoing;</w:t>
            </w:r>
          </w:p>
        </w:tc>
      </w:tr>
      <w:tr>
        <w:tc>
          <w:tcPr>
            <w:tcW w:type="dxa" w:w="4320"/>
          </w:tcPr>
          <w:p>
            <w:pPr>
              <w:spacing w:after="120"/>
            </w:pPr>
            <w:r>
              <w:rPr>
                <w:rFonts w:ascii="Arial Unicode MS" w:hAnsi="Arial Unicode MS"/>
                <w:b w:val="0"/>
                <w:sz w:val="21"/>
              </w:rPr>
              <w:t>5. Celebrar contratos consigo mesmo de acordo com o estabelecido no artigo 261.°, n.° 1, do Código Civil Português, assim como intervir em nome de outras partes nos mesmos atos;</w:t>
            </w:r>
          </w:p>
        </w:tc>
        <w:tc>
          <w:tcPr>
            <w:tcW w:type="dxa" w:w="4320"/>
          </w:tcPr>
          <w:p>
            <w:pPr>
              <w:spacing w:after="120"/>
            </w:pPr>
            <w:r>
              <w:rPr>
                <w:rFonts w:ascii="Arial Unicode MS" w:hAnsi="Arial Unicode MS"/>
                <w:b w:val="0"/>
                <w:sz w:val="21"/>
              </w:rPr>
              <w:t>5. To enter into contracts with themselves in accordance with Article 261(1) of the Portuguese Civil Code, and to act on behalf of other parties in the same transactions;</w:t>
            </w:r>
          </w:p>
        </w:tc>
      </w:tr>
      <w:tr>
        <w:tc>
          <w:tcPr>
            <w:tcW w:type="dxa" w:w="4320"/>
          </w:tcPr>
          <w:p>
            <w:pPr>
              <w:spacing w:after="120"/>
            </w:pPr>
            <w:r>
              <w:rPr>
                <w:rFonts w:ascii="Arial Unicode MS" w:hAnsi="Arial Unicode MS"/>
                <w:b w:val="0"/>
                <w:sz w:val="21"/>
              </w:rPr>
              <w:t>6. Praticar qualquer ato e assinar quaisquer documentos que sejam ou possam ser considerados convenientes à prática dos poderes aqui conferidos, bem como substabelecer os poderes aqui conferidos com ou sem reserva.</w:t>
            </w:r>
          </w:p>
        </w:tc>
        <w:tc>
          <w:tcPr>
            <w:tcW w:type="dxa" w:w="4320"/>
          </w:tcPr>
          <w:p>
            <w:pPr>
              <w:spacing w:after="120"/>
            </w:pPr>
            <w:r>
              <w:rPr>
                <w:rFonts w:ascii="Arial Unicode MS" w:hAnsi="Arial Unicode MS"/>
                <w:b w:val="0"/>
                <w:sz w:val="21"/>
              </w:rPr>
              <w:t>6. To perform any act and to sign any documents that are or may be considered convenient for the exercise of the powers hereby conferred, as well as to subdelegate the powers granted herein, with or without reservation.</w:t>
            </w:r>
          </w:p>
        </w:tc>
      </w:tr>
      <w:tr>
        <w:tc>
          <w:tcPr>
            <w:tcW w:type="dxa" w:w="4320"/>
          </w:tcPr>
          <w:p>
            <w:pPr>
              <w:spacing w:after="120"/>
            </w:pPr>
            <w:r>
              <w:rPr>
                <w:rFonts w:ascii="Arial Unicode MS" w:hAnsi="Arial Unicode MS"/>
                <w:b w:val="0"/>
                <w:sz w:val="21"/>
              </w:rPr>
              <w:t>Essa procuração é válida pelo período de 1 ano a contar da data da sua assinatura.</w:t>
            </w:r>
          </w:p>
        </w:tc>
        <w:tc>
          <w:tcPr>
            <w:tcW w:type="dxa" w:w="4320"/>
          </w:tcPr>
          <w:p>
            <w:pPr>
              <w:spacing w:after="120"/>
            </w:pPr>
            <w:r>
              <w:rPr>
                <w:rFonts w:ascii="Arial Unicode MS" w:hAnsi="Arial Unicode MS"/>
                <w:b w:val="0"/>
                <w:sz w:val="21"/>
              </w:rPr>
              <w:t>This power of attorney shall remain valid for a period of one (1) year from the date of its signature.</w:t>
            </w:r>
          </w:p>
        </w:tc>
      </w:tr>
      <w:tr>
        <w:tc>
          <w:tcPr>
            <w:tcW w:type="dxa" w:w="4320"/>
          </w:tcPr>
          <w:p>
            <w:pPr>
              <w:spacing w:after="120"/>
            </w:pPr>
            <w:r>
              <w:rPr>
                <w:rFonts w:ascii="Arial Unicode MS" w:hAnsi="Arial Unicode MS"/>
                <w:b w:val="0"/>
                <w:sz w:val="21"/>
              </w:rPr>
            </w:r>
          </w:p>
        </w:tc>
        <w:tc>
          <w:tcPr>
            <w:tcW w:type="dxa" w:w="4320"/>
          </w:tcPr>
          <w:p>
            <w:pPr>
              <w:spacing w:after="120"/>
            </w:pPr>
            <w:r>
              <w:rPr>
                <w:rFonts w:ascii="Arial Unicode MS" w:hAnsi="Arial Unicode MS"/>
                <w:b w:val="0"/>
                <w:sz w:val="21"/>
              </w:rPr>
            </w:r>
          </w:p>
        </w:tc>
      </w:tr>
      <w:tr>
        <w:tc>
          <w:tcPr>
            <w:tcW w:type="dxa" w:w="4320"/>
          </w:tcPr>
          <w:p>
            <w:pPr>
              <w:spacing w:after="120"/>
            </w:pPr>
            <w:r>
              <w:rPr>
                <w:rFonts w:ascii="Arial Unicode MS" w:hAnsi="Arial Unicode MS"/>
                <w:b w:val="0"/>
                <w:sz w:val="21"/>
              </w:rPr>
              <w:t>[LOCAL E DATA]</w:t>
            </w:r>
          </w:p>
        </w:tc>
        <w:tc>
          <w:tcPr>
            <w:tcW w:type="dxa" w:w="4320"/>
          </w:tcPr>
          <w:p>
            <w:pPr>
              <w:spacing w:after="120"/>
            </w:pPr>
            <w:r>
              <w:rPr>
                <w:rFonts w:ascii="Arial Unicode MS" w:hAnsi="Arial Unicode MS"/>
                <w:b w:val="0"/>
                <w:sz w:val="21"/>
              </w:rPr>
              <w:t>[CITY AND DATE]</w:t>
            </w:r>
          </w:p>
        </w:tc>
      </w:tr>
      <w:tr>
        <w:tc>
          <w:tcPr>
            <w:tcW w:type="dxa" w:w="4320"/>
          </w:tcPr>
          <w:p>
            <w:pPr>
              <w:spacing w:after="120"/>
            </w:pPr>
            <w:r>
              <w:rPr>
                <w:rFonts w:ascii="Arial Unicode MS" w:hAnsi="Arial Unicode MS"/>
                <w:b w:val="0"/>
                <w:sz w:val="21"/>
              </w:rPr>
            </w:r>
          </w:p>
        </w:tc>
        <w:tc>
          <w:tcPr>
            <w:tcW w:type="dxa" w:w="4320"/>
          </w:tcPr>
          <w:p>
            <w:pPr>
              <w:spacing w:after="120"/>
            </w:pPr>
            <w:r>
              <w:rPr>
                <w:rFonts w:ascii="Arial Unicode MS" w:hAnsi="Arial Unicode MS"/>
                <w:b w:val="0"/>
                <w:sz w:val="21"/>
              </w:rPr>
            </w:r>
          </w:p>
        </w:tc>
      </w:tr>
      <w:tr>
        <w:tc>
          <w:tcPr>
            <w:tcW w:type="dxa" w:w="4320"/>
          </w:tcPr>
          <w:p>
            <w:pPr>
              <w:spacing w:after="120"/>
            </w:pPr>
            <w:r>
              <w:rPr>
                <w:rFonts w:ascii="Arial Unicode MS" w:hAnsi="Arial Unicode MS"/>
                <w:b w:val="0"/>
                <w:sz w:val="21"/>
              </w:rPr>
              <w:t>___________________</w:t>
            </w:r>
          </w:p>
        </w:tc>
        <w:tc>
          <w:tcPr>
            <w:tcW w:type="dxa" w:w="4320"/>
          </w:tcPr>
          <w:p>
            <w:pPr>
              <w:spacing w:after="120"/>
            </w:pPr>
            <w:r>
              <w:rPr>
                <w:rFonts w:ascii="Arial Unicode MS" w:hAnsi="Arial Unicode MS"/>
                <w:b w:val="0"/>
                <w:sz w:val="21"/>
              </w:rPr>
              <w:t>___________________</w:t>
            </w:r>
          </w:p>
        </w:tc>
      </w:tr>
      <w:tr>
        <w:tc>
          <w:tcPr>
            <w:tcW w:type="dxa" w:w="4320"/>
          </w:tcPr>
          <w:p>
            <w:pPr>
              <w:spacing w:after="120"/>
            </w:pPr>
            <w:r>
              <w:rPr>
                <w:rFonts w:ascii="Arial Unicode MS" w:hAnsi="Arial Unicode MS"/>
                <w:b w:val="0"/>
                <w:sz w:val="21"/>
              </w:rPr>
              <w:t>Augusto Requena</w:t>
            </w:r>
          </w:p>
        </w:tc>
        <w:tc>
          <w:tcPr>
            <w:tcW w:type="dxa" w:w="4320"/>
          </w:tcPr>
          <w:p>
            <w:pPr>
              <w:spacing w:after="120"/>
            </w:pPr>
            <w:r>
              <w:rPr>
                <w:rFonts w:ascii="Arial Unicode MS" w:hAnsi="Arial Unicode MS"/>
                <w:b w:val="0"/>
                <w:sz w:val="21"/>
              </w:rPr>
              <w:t>Augusto Requena</w:t>
            </w:r>
          </w:p>
        </w:tc>
      </w:tr>
      <w:tr>
        <w:tc>
          <w:tcPr>
            <w:tcW w:type="dxa" w:w="4320"/>
          </w:tcPr>
          <w:p>
            <w:pPr>
              <w:spacing w:after="120"/>
            </w:pPr>
            <w:r>
              <w:rPr>
                <w:rFonts w:ascii="Arial Unicode MS" w:hAnsi="Arial Unicode MS"/>
                <w:b w:val="0"/>
                <w:sz w:val="21"/>
              </w:rPr>
              <w:t>Director, Requena Design Ltd</w:t>
            </w:r>
          </w:p>
        </w:tc>
        <w:tc>
          <w:tcPr>
            <w:tcW w:type="dxa" w:w="4320"/>
          </w:tcPr>
          <w:p>
            <w:pPr>
              <w:spacing w:after="120"/>
            </w:pPr>
            <w:r>
              <w:rPr>
                <w:rFonts w:ascii="Arial Unicode MS" w:hAnsi="Arial Unicode MS"/>
                <w:b w:val="0"/>
                <w:sz w:val="21"/>
              </w:rPr>
              <w:t>Director, Requena Design Ltd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