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color w:val="6B7280"/>
          <w:spacing w:val="40"/>
          <w:sz w:val="24"/>
          <w:szCs w:val="24"/>
        </w:rPr>
        <w:t xml:space="preserve">CAHIER DES CHARGES</w:t>
      </w:r>
    </w:p>
    <w:p>
      <w:pPr>
        <w:spacing w:after="0" w:before="200"/>
        <w:jc w:val="center"/>
      </w:pPr>
      <w:r>
        <w:rPr>
          <w:b/>
          <w:bCs/>
          <w:color w:val="4F46E5"/>
          <w:sz w:val="96"/>
          <w:szCs w:val="96"/>
        </w:rPr>
        <w:t xml:space="preserve">VISIO</w:t>
      </w:r>
    </w:p>
    <w:p>
      <w:pPr>
        <w:spacing w:after="800" w:before="120"/>
        <w:jc w:val="center"/>
      </w:pPr>
      <w:r>
        <w:rPr>
          <w:color w:val="1F2937"/>
          <w:sz w:val="28"/>
          <w:szCs w:val="28"/>
        </w:rPr>
        <w:t xml:space="preserve">Application de gestion budgétaire personnelle</w:t>
      </w:r>
    </w:p>
    <w:p>
      <w:pPr>
        <w:spacing w:before="3000"/>
        <w:jc w:val="center"/>
      </w:pPr>
      <w:r>
        <w:rPr>
          <w:sz w:val="21"/>
          <w:szCs w:val="21"/>
        </w:rPr>
        <w:t xml:space="preserve">Porteur de projet : Yves Charlemagne Zombré</w:t>
      </w:r>
    </w:p>
    <w:p>
      <w:pPr>
        <w:spacing w:before="80"/>
        <w:jc w:val="center"/>
      </w:pPr>
      <w:r>
        <w:rPr>
          <w:color w:val="6B7280"/>
          <w:sz w:val="21"/>
          <w:szCs w:val="21"/>
        </w:rPr>
        <w:t xml:space="preserve">Version 1.0 — 9 septembre 2026</w:t>
      </w:r>
    </w:p>
    <w:p>
      <w:pPr>
        <w:spacing w:before="80"/>
        <w:jc w:val="center"/>
      </w:pPr>
      <w:r>
        <w:rPr>
          <w:i/>
          <w:iCs/>
          <w:color w:val="6B7280"/>
          <w:sz w:val="19"/>
          <w:szCs w:val="19"/>
        </w:rPr>
        <w:t xml:space="preserve">Document destiné à cadrer le développement (réalisation technique : Claude Code)</w:t>
      </w:r>
    </w:p>
    <w:p>
      <w:r>
        <w:br w:type="page"/>
      </w:r>
    </w:p>
    <w:p>
      <w:pPr>
        <w:sectPr>
          <w:pgSz w:w="11906" w:h="16838" w:orient="portrait"/>
          <w:pgMar w:top="1000" w:right="1100" w:bottom="1000" w:left="1100" w:header="708" w:footer="708" w:gutter="0"/>
          <w:pgNumType/>
          <w:docGrid w:linePitch="360"/>
        </w:sectPr>
      </w:pPr>
    </w:p>
    <w:p>
      <w:pPr>
        <w:pStyle w:val="Heading1"/>
        <w:spacing w:after="200" w:before="480"/>
      </w:pPr>
      <w:r>
        <w:rPr>
          <w:b/>
          <w:bCs/>
          <w:color w:val="1F2937"/>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b/>
          <w:bCs/>
          <w:color w:val="1F2937"/>
          <w:sz w:val="30"/>
          <w:szCs w:val="30"/>
        </w:rPr>
        <w:t xml:space="preserve">1. Présentation du projet</w:t>
      </w:r>
    </w:p>
    <w:p>
      <w:pPr>
        <w:pStyle w:val="Heading2"/>
        <w:spacing w:after="140" w:before="320"/>
      </w:pPr>
      <w:r>
        <w:rPr>
          <w:b/>
          <w:bCs/>
          <w:color w:val="4F46E5"/>
          <w:sz w:val="24"/>
          <w:szCs w:val="24"/>
        </w:rPr>
        <w:t xml:space="preserve">1.1 Contexte</w:t>
      </w:r>
    </w:p>
    <w:p>
      <w:pPr>
        <w:spacing w:after="160" w:line="300"/>
      </w:pPr>
      <w:r>
        <w:rPr>
          <w:sz w:val="21"/>
          <w:szCs w:val="21"/>
        </w:rPr>
        <w:t xml:space="preserve">Visio est un projet personnel d'Yves Charlemagne Zombré, ouvert gratuitement au grand public. Il ne s'inscrit pas dans le cadre de Wagaweb ni de Data Stratégie Service : c'est une initiative indépendante, motivée par un besoin réel et immédiat de suivre ses propres finances, que le porteur du projet a choisi de transformer en outil utilisable par n'importe qui.</w:t>
      </w:r>
    </w:p>
    <w:p>
      <w:pPr>
        <w:spacing w:after="160" w:line="300"/>
      </w:pPr>
      <w:r>
        <w:rPr>
          <w:sz w:val="21"/>
          <w:szCs w:val="21"/>
        </w:rPr>
        <w:t xml:space="preserve">Le constat de départ est simple : les outils de gestion budgétaire classiques imposent souvent un découpage rigide (catégories plates, cycle mensuel imposé) qui correspond mal à la façon dont on pense réellement son argent — un budget global qu'on répartit, redécoupe et ajuste en enveloppes selon ses priorités du moment.</w:t>
      </w:r>
    </w:p>
    <w:p>
      <w:pPr>
        <w:pStyle w:val="Heading2"/>
        <w:spacing w:after="140" w:before="320"/>
      </w:pPr>
      <w:r>
        <w:rPr>
          <w:b/>
          <w:bCs/>
          <w:color w:val="4F46E5"/>
          <w:sz w:val="24"/>
          <w:szCs w:val="24"/>
        </w:rPr>
        <w:t xml:space="preserve">1.2 Vision et objectifs</w:t>
      </w:r>
    </w:p>
    <w:p>
      <w:pPr>
        <w:spacing w:after="160" w:line="300"/>
      </w:pPr>
      <w:r>
        <w:rPr>
          <w:sz w:val="21"/>
          <w:szCs w:val="21"/>
        </w:rPr>
        <w:t xml:space="preserve">Visio doit permettre à n'importe quel utilisateur de :</w:t>
      </w:r>
    </w:p>
    <w:p>
      <w:pPr>
        <w:pStyle w:val="ListParagraph"/>
        <w:numPr>
          <w:ilvl w:val="0"/>
          <w:numId w:val="2"/>
        </w:numPr>
        <w:spacing w:after="90" w:line="290"/>
      </w:pPr>
      <w:r>
        <w:rPr>
          <w:sz w:val="21"/>
          <w:szCs w:val="21"/>
        </w:rPr>
        <w:t xml:space="preserve">définir un budget et suivre ses dépenses par rapport à ce budget, de façon simple et visuelle ;</w:t>
      </w:r>
    </w:p>
    <w:p>
      <w:pPr>
        <w:pStyle w:val="ListParagraph"/>
        <w:numPr>
          <w:ilvl w:val="0"/>
          <w:numId w:val="2"/>
        </w:numPr>
        <w:spacing w:after="90" w:line="290"/>
      </w:pPr>
      <w:r>
        <w:rPr>
          <w:sz w:val="21"/>
          <w:szCs w:val="21"/>
        </w:rPr>
        <w:t xml:space="preserve">organiser son argent en enveloppes emboîtées (un budget général divisé en sous-budgets, eux-mêmes divisibles), plutôt qu'en une liste plate de catégories ;</w:t>
      </w:r>
    </w:p>
    <w:p>
      <w:pPr>
        <w:pStyle w:val="ListParagraph"/>
        <w:numPr>
          <w:ilvl w:val="0"/>
          <w:numId w:val="2"/>
        </w:numPr>
        <w:spacing w:after="90" w:line="290"/>
      </w:pPr>
      <w:r>
        <w:rPr>
          <w:sz w:val="21"/>
          <w:szCs w:val="21"/>
        </w:rPr>
        <w:t xml:space="preserve">garder une visibilité totale et un historique complet de chaque action effectuée sur son budget ;</w:t>
      </w:r>
    </w:p>
    <w:p>
      <w:pPr>
        <w:pStyle w:val="ListParagraph"/>
        <w:numPr>
          <w:ilvl w:val="0"/>
          <w:numId w:val="2"/>
        </w:numPr>
        <w:spacing w:after="90" w:line="290"/>
      </w:pPr>
      <w:r>
        <w:rPr>
          <w:sz w:val="21"/>
          <w:szCs w:val="21"/>
        </w:rPr>
        <w:t xml:space="preserve">utiliser l'application comme une app installée sur son téléphone ou son ordinateur, y compris sans connexion internet fiable.</w:t>
      </w:r>
    </w:p>
    <w:p>
      <w:pPr>
        <w:spacing w:after="160" w:line="300"/>
      </w:pPr>
      <w:r>
        <w:rPr>
          <w:sz w:val="21"/>
          <w:szCs w:val="21"/>
        </w:rPr>
        <w:t xml:space="preserve">Le projet est gratuit et sans objectif de monétisation à ce stade. Aucune intégration de mobile money (Orange Money, Moov Money) n'est prévue pour cette version.</w:t>
      </w:r>
    </w:p>
    <w:p>
      <w:pPr>
        <w:pStyle w:val="Heading2"/>
        <w:spacing w:after="140" w:before="320"/>
      </w:pPr>
      <w:r>
        <w:rPr>
          <w:b/>
          <w:bCs/>
          <w:color w:val="4F46E5"/>
          <w:sz w:val="24"/>
          <w:szCs w:val="24"/>
        </w:rPr>
        <w:t xml:space="preserve">1.3 Porteur du projet</w:t>
      </w:r>
    </w:p>
    <w:p>
      <w:pPr>
        <w:spacing w:after="160" w:line="300"/>
      </w:pPr>
      <w:r>
        <w:rPr>
          <w:sz w:val="21"/>
          <w:szCs w:val="21"/>
        </w:rPr>
        <w:t xml:space="preserve">Yves Charlemagne Zombré — Ouagadougou, Burkina Faso. Fondateur de Wagaweb (agence web) et agent de Data Stratégie Service ; positionné ici comme porteur de produit, la réalisation technique étant déléguée à Claude Code.</w:t>
      </w:r>
    </w:p>
    <w:p>
      <w:pPr>
        <w:pStyle w:val="Heading1"/>
        <w:spacing w:after="200" w:before="480"/>
      </w:pPr>
      <w:r>
        <w:rPr>
          <w:b/>
          <w:bCs/>
          <w:color w:val="1F2937"/>
          <w:sz w:val="30"/>
          <w:szCs w:val="30"/>
        </w:rPr>
        <w:t xml:space="preserve">2. Utilisateurs et périmètre</w:t>
      </w:r>
    </w:p>
    <w:p>
      <w:pPr>
        <w:pStyle w:val="Heading2"/>
        <w:spacing w:after="140" w:before="320"/>
      </w:pPr>
      <w:r>
        <w:rPr>
          <w:b/>
          <w:bCs/>
          <w:color w:val="4F46E5"/>
          <w:sz w:val="24"/>
          <w:szCs w:val="24"/>
        </w:rPr>
        <w:t xml:space="preserve">2.1 Public cible</w:t>
      </w:r>
    </w:p>
    <w:p>
      <w:pPr>
        <w:spacing w:after="160" w:line="300"/>
      </w:pPr>
      <w:r>
        <w:rPr>
          <w:sz w:val="21"/>
          <w:szCs w:val="21"/>
        </w:rPr>
        <w:t xml:space="preserve">Application ouverte à tout le monde, sans restriction d'inscription. Interface en français, avec le FCFA (XOF) comme devise par défaut — cohérent avec une première audience basée en Afrique de l'Ouest francophone, sans exclure d'autres utilisateurs grâce au changement de devise.</w:t>
      </w:r>
    </w:p>
    <w:p>
      <w:pPr>
        <w:pStyle w:val="Heading2"/>
        <w:spacing w:after="140" w:before="320"/>
      </w:pPr>
      <w:r>
        <w:rPr>
          <w:b/>
          <w:bCs/>
          <w:color w:val="4F46E5"/>
          <w:sz w:val="24"/>
          <w:szCs w:val="24"/>
        </w:rPr>
        <w:t xml:space="preserve">2.2 Périmètre fonctionnel de la version 1</w:t>
      </w:r>
    </w:p>
    <w:p>
      <w:pPr>
        <w:pStyle w:val="ListParagraph"/>
        <w:numPr>
          <w:ilvl w:val="0"/>
          <w:numId w:val="2"/>
        </w:numPr>
        <w:spacing w:after="90" w:line="290"/>
      </w:pPr>
      <w:r>
        <w:rPr>
          <w:sz w:val="21"/>
          <w:szCs w:val="21"/>
        </w:rPr>
        <w:t xml:space="preserve">Un compte utilisateur strictement individuel : chaque personne gère son propre budget.</w:t>
      </w:r>
    </w:p>
    <w:p>
      <w:pPr>
        <w:pStyle w:val="ListParagraph"/>
        <w:numPr>
          <w:ilvl w:val="0"/>
          <w:numId w:val="2"/>
        </w:numPr>
        <w:spacing w:after="90" w:line="290"/>
      </w:pPr>
      <w:r>
        <w:rPr>
          <w:sz w:val="21"/>
          <w:szCs w:val="21"/>
        </w:rPr>
        <w:t xml:space="preserve">Une arborescence de budgets (enveloppes) sans limite de profondeur.</w:t>
      </w:r>
    </w:p>
    <w:p>
      <w:pPr>
        <w:pStyle w:val="ListParagraph"/>
        <w:numPr>
          <w:ilvl w:val="0"/>
          <w:numId w:val="2"/>
        </w:numPr>
        <w:spacing w:after="90" w:line="290"/>
      </w:pPr>
      <w:r>
        <w:rPr>
          <w:sz w:val="21"/>
          <w:szCs w:val="21"/>
        </w:rPr>
        <w:t xml:space="preserve">Saisie de transactions (revenus et dépenses), ponctuelles ou récurrentes.</w:t>
      </w:r>
    </w:p>
    <w:p>
      <w:pPr>
        <w:pStyle w:val="ListParagraph"/>
        <w:numPr>
          <w:ilvl w:val="0"/>
          <w:numId w:val="2"/>
        </w:numPr>
        <w:spacing w:after="90" w:line="290"/>
      </w:pPr>
      <w:r>
        <w:rPr>
          <w:sz w:val="21"/>
          <w:szCs w:val="21"/>
        </w:rPr>
        <w:t xml:space="preserve">Historique complet des actions et annulation de la dernière action.</w:t>
      </w:r>
    </w:p>
    <w:p>
      <w:pPr>
        <w:pStyle w:val="ListParagraph"/>
        <w:numPr>
          <w:ilvl w:val="0"/>
          <w:numId w:val="2"/>
        </w:numPr>
        <w:spacing w:after="90" w:line="290"/>
      </w:pPr>
      <w:r>
        <w:rPr>
          <w:sz w:val="21"/>
          <w:szCs w:val="21"/>
        </w:rPr>
        <w:t xml:space="preserve">Notifications push de dépassement de budget.</w:t>
      </w:r>
    </w:p>
    <w:p>
      <w:pPr>
        <w:pStyle w:val="ListParagraph"/>
        <w:numPr>
          <w:ilvl w:val="0"/>
          <w:numId w:val="2"/>
        </w:numPr>
        <w:spacing w:after="90" w:line="290"/>
      </w:pPr>
      <w:r>
        <w:rPr>
          <w:sz w:val="21"/>
          <w:szCs w:val="21"/>
        </w:rPr>
        <w:t xml:space="preserve">Export de l'historique des transactions.</w:t>
      </w:r>
    </w:p>
    <w:p>
      <w:pPr>
        <w:pStyle w:val="ListParagraph"/>
        <w:numPr>
          <w:ilvl w:val="0"/>
          <w:numId w:val="2"/>
        </w:numPr>
        <w:spacing w:after="90" w:line="290"/>
      </w:pPr>
      <w:r>
        <w:rPr>
          <w:sz w:val="21"/>
          <w:szCs w:val="21"/>
        </w:rPr>
        <w:t xml:space="preserve">Tableau de bord avec vue actuelle et tendances historiques.</w:t>
      </w:r>
    </w:p>
    <w:p>
      <w:pPr>
        <w:pStyle w:val="ListParagraph"/>
        <w:numPr>
          <w:ilvl w:val="0"/>
          <w:numId w:val="2"/>
        </w:numPr>
        <w:spacing w:after="90" w:line="290"/>
      </w:pPr>
      <w:r>
        <w:rPr>
          <w:sz w:val="21"/>
          <w:szCs w:val="21"/>
        </w:rPr>
        <w:t xml:space="preserve">Application installable (PWA) avec mode hors-ligne.</w:t>
      </w:r>
    </w:p>
    <w:p>
      <w:pPr>
        <w:pStyle w:val="Heading2"/>
        <w:spacing w:after="140" w:before="320"/>
      </w:pPr>
      <w:r>
        <w:rPr>
          <w:b/>
          <w:bCs/>
          <w:color w:val="4F46E5"/>
          <w:sz w:val="24"/>
          <w:szCs w:val="24"/>
        </w:rPr>
        <w:t xml:space="preserve">2.3 Hors périmètre pour cette version</w:t>
      </w:r>
    </w:p>
    <w:p>
      <w:pPr>
        <w:spacing w:after="160" w:line="300"/>
      </w:pPr>
      <w:r>
        <w:rPr>
          <w:sz w:val="21"/>
          <w:szCs w:val="21"/>
        </w:rPr>
        <w:t xml:space="preserve">Les éléments suivants sont explicitement écartés de la v1, mais l'architecture ne doit pas les rendre impossibles à ajouter plus tard :</w:t>
      </w:r>
    </w:p>
    <w:p>
      <w:pPr>
        <w:pStyle w:val="ListParagraph"/>
        <w:numPr>
          <w:ilvl w:val="0"/>
          <w:numId w:val="2"/>
        </w:numPr>
        <w:spacing w:after="90" w:line="290"/>
      </w:pPr>
      <w:r>
        <w:rPr>
          <w:sz w:val="21"/>
          <w:szCs w:val="21"/>
        </w:rPr>
        <w:t xml:space="preserve">Partage d'un budget entre plusieurs utilisateurs (budget de couple, familial ou d'équipe).</w:t>
      </w:r>
    </w:p>
    <w:p>
      <w:pPr>
        <w:pStyle w:val="ListParagraph"/>
        <w:numPr>
          <w:ilvl w:val="0"/>
          <w:numId w:val="2"/>
        </w:numPr>
        <w:spacing w:after="90" w:line="290"/>
      </w:pPr>
      <w:r>
        <w:rPr>
          <w:sz w:val="21"/>
          <w:szCs w:val="21"/>
        </w:rPr>
        <w:t xml:space="preserve">Intégration mobile money (Orange Money, Moov Money ou équivalents).</w:t>
      </w:r>
    </w:p>
    <w:p>
      <w:pPr>
        <w:pStyle w:val="ListParagraph"/>
        <w:numPr>
          <w:ilvl w:val="0"/>
          <w:numId w:val="2"/>
        </w:numPr>
        <w:spacing w:after="90" w:line="290"/>
      </w:pPr>
      <w:r>
        <w:rPr>
          <w:sz w:val="21"/>
          <w:szCs w:val="21"/>
        </w:rPr>
        <w:t xml:space="preserve">Tout modèle de monétisation (abonnement, freemium, publicité).</w:t>
      </w:r>
    </w:p>
    <w:p>
      <w:pPr>
        <w:pStyle w:val="ListParagraph"/>
        <w:numPr>
          <w:ilvl w:val="0"/>
          <w:numId w:val="2"/>
        </w:numPr>
        <w:spacing w:after="90" w:line="290"/>
      </w:pPr>
      <w:r>
        <w:rPr>
          <w:sz w:val="21"/>
          <w:szCs w:val="21"/>
        </w:rPr>
        <w:t xml:space="preserve">Application mobile native (Android/iOS via store) — le choix retenu est la PWA.</w:t>
      </w:r>
    </w:p>
    <w:p>
      <w:pPr>
        <w:pStyle w:val="Heading1"/>
        <w:spacing w:after="200" w:before="480"/>
      </w:pPr>
      <w:r>
        <w:rPr>
          <w:b/>
          <w:bCs/>
          <w:color w:val="1F2937"/>
          <w:sz w:val="30"/>
          <w:szCs w:val="30"/>
        </w:rPr>
        <w:t xml:space="preserve">3. Modèle fonctionnel — le budget en arborescence</w:t>
      </w:r>
    </w:p>
    <w:p>
      <w:pPr>
        <w:pStyle w:val="Heading2"/>
        <w:spacing w:after="140" w:before="320"/>
      </w:pPr>
      <w:r>
        <w:rPr>
          <w:b/>
          <w:bCs/>
          <w:color w:val="4F46E5"/>
          <w:sz w:val="24"/>
          <w:szCs w:val="24"/>
        </w:rPr>
        <w:t xml:space="preserve">3.1 Principe général</w:t>
      </w:r>
    </w:p>
    <w:p>
      <w:pPr>
        <w:spacing w:after="160" w:line="300"/>
      </w:pPr>
      <w:r>
        <w:rPr>
          <w:sz w:val="21"/>
          <w:szCs w:val="21"/>
        </w:rPr>
        <w:t xml:space="preserve">Le cœur de Visio est une arborescence d'enveloppes budgétaires, sans limite de profondeur. Un budget général constitue la racine ; il se divise en enveloppes, qui peuvent elles-mêmes se diviser en sous-enveloppes, et ainsi de suite (exemple : Budget général → Personnel → Loisirs → Sorties).</w:t>
      </w:r>
    </w:p>
    <w:p>
      <w:pPr>
        <w:spacing w:after="160" w:line="300"/>
      </w:pPr>
      <w:r>
        <w:rPr>
          <w:sz w:val="21"/>
          <w:szCs w:val="21"/>
        </w:rPr>
        <w:t xml:space="preserve">Il n'existe qu'un seul type de nœud dans cette arborescence : l'enveloppe de dépense — un plafond alloué qui se consomme au fil des transactions. Il n'y a pas de distinction technique avec un objectif d'épargne : une « épargne » est simplement une enveloppe que l'on choisit de ne pas dépenser.</w:t>
      </w:r>
    </w:p>
    <w:p>
      <w:pPr>
        <w:pStyle w:val="Heading2"/>
        <w:spacing w:after="140" w:before="320"/>
      </w:pPr>
      <w:r>
        <w:rPr>
          <w:b/>
          <w:bCs/>
          <w:color w:val="4F46E5"/>
          <w:sz w:val="24"/>
          <w:szCs w:val="24"/>
        </w:rPr>
        <w:t xml:space="preserve">3.2 Attributs d'une enveloppe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2937" w:val="clear"/>
            <w:tcMar>
              <w:top w:type="dxa" w:w="90"/>
              <w:left w:type="dxa" w:w="120"/>
              <w:bottom w:type="dxa" w:w="90"/>
              <w:right w:type="dxa" w:w="120"/>
            </w:tcMar>
            <w:vAlign w:val="center"/>
          </w:tcPr>
          <w:p>
            <w:pPr>
              <w:jc w:val="left"/>
            </w:pPr>
            <w:r>
              <w:rPr>
                <w:b/>
                <w:bCs/>
                <w:color w:val="FFFFFF"/>
                <w:sz w:val="19"/>
                <w:szCs w:val="19"/>
              </w:rPr>
              <w:t xml:space="preserve">Attribut</w:t>
            </w:r>
          </w:p>
        </w:tc>
        <w:tc>
          <w:tcPr>
            <w:tcW w:type="dxa" w:w="6600"/>
            <w:shd w:fill="1F2937" w:val="clear"/>
            <w:tcMar>
              <w:top w:type="dxa" w:w="90"/>
              <w:left w:type="dxa" w:w="120"/>
              <w:bottom w:type="dxa" w:w="90"/>
              <w:right w:type="dxa" w:w="120"/>
            </w:tcMar>
            <w:vAlign w:val="center"/>
          </w:tcPr>
          <w:p>
            <w:pPr>
              <w:jc w:val="left"/>
            </w:pPr>
            <w:r>
              <w:rPr>
                <w:b/>
                <w:bCs/>
                <w:color w:val="FFFFFF"/>
                <w:sz w:val="19"/>
                <w:szCs w:val="19"/>
              </w:rPr>
              <w:t xml:space="preserve">Description</w:t>
            </w:r>
          </w:p>
        </w:tc>
      </w:tr>
      <w:tr>
        <w:tc>
          <w:tcPr>
            <w:tcW w:type="dxa" w:w="2400"/>
            <w:shd w:fill="FFFFFF" w:val="clear"/>
            <w:tcMar>
              <w:top w:type="dxa" w:w="90"/>
              <w:left w:type="dxa" w:w="120"/>
              <w:bottom w:type="dxa" w:w="90"/>
              <w:right w:type="dxa" w:w="120"/>
            </w:tcMar>
            <w:vAlign w:val="center"/>
          </w:tcPr>
          <w:p>
            <w:pPr>
              <w:jc w:val="left"/>
            </w:pPr>
            <w:r>
              <w:rPr>
                <w:b w:val="false"/>
                <w:bCs w:val="false"/>
                <w:sz w:val="19"/>
                <w:szCs w:val="19"/>
              </w:rPr>
              <w:t xml:space="preserve">Nom</w:t>
            </w:r>
          </w:p>
        </w:tc>
        <w:tc>
          <w:tcPr>
            <w:tcW w:type="dxa" w:w="6600"/>
            <w:shd w:fill="FFFFFF" w:val="clear"/>
            <w:tcMar>
              <w:top w:type="dxa" w:w="90"/>
              <w:left w:type="dxa" w:w="120"/>
              <w:bottom w:type="dxa" w:w="90"/>
              <w:right w:type="dxa" w:w="120"/>
            </w:tcMar>
            <w:vAlign w:val="center"/>
          </w:tcPr>
          <w:p>
            <w:pPr>
              <w:jc w:val="left"/>
            </w:pPr>
            <w:r>
              <w:rPr>
                <w:b w:val="false"/>
                <w:bCs w:val="false"/>
                <w:sz w:val="19"/>
                <w:szCs w:val="19"/>
              </w:rPr>
              <w:t xml:space="preserve">Libellé de l'enveloppe (ex : « Alimentation », « Épargne laptop »).</w:t>
            </w:r>
          </w:p>
        </w:tc>
      </w:tr>
      <w:tr>
        <w:tc>
          <w:tcPr>
            <w:tcW w:type="dxa" w:w="2400"/>
            <w:shd w:fill="EEF0FF" w:val="clear"/>
            <w:tcMar>
              <w:top w:type="dxa" w:w="90"/>
              <w:left w:type="dxa" w:w="120"/>
              <w:bottom w:type="dxa" w:w="90"/>
              <w:right w:type="dxa" w:w="120"/>
            </w:tcMar>
            <w:vAlign w:val="center"/>
          </w:tcPr>
          <w:p>
            <w:pPr>
              <w:jc w:val="left"/>
            </w:pPr>
            <w:r>
              <w:rPr>
                <w:b w:val="false"/>
                <w:bCs w:val="false"/>
                <w:sz w:val="19"/>
                <w:szCs w:val="19"/>
              </w:rPr>
              <w:t xml:space="preserve">Couleur</w:t>
            </w:r>
          </w:p>
        </w:tc>
        <w:tc>
          <w:tcPr>
            <w:tcW w:type="dxa" w:w="6600"/>
            <w:shd w:fill="EEF0FF" w:val="clear"/>
            <w:tcMar>
              <w:top w:type="dxa" w:w="90"/>
              <w:left w:type="dxa" w:w="120"/>
              <w:bottom w:type="dxa" w:w="90"/>
              <w:right w:type="dxa" w:w="120"/>
            </w:tcMar>
            <w:vAlign w:val="center"/>
          </w:tcPr>
          <w:p>
            <w:pPr>
              <w:jc w:val="left"/>
            </w:pPr>
            <w:r>
              <w:rPr>
                <w:b w:val="false"/>
                <w:bCs w:val="false"/>
                <w:sz w:val="19"/>
                <w:szCs w:val="19"/>
              </w:rPr>
              <w:t xml:space="preserve">Couleur associée, utilisée dans les listes et les graphiques.</w:t>
            </w:r>
          </w:p>
        </w:tc>
      </w:tr>
      <w:tr>
        <w:tc>
          <w:tcPr>
            <w:tcW w:type="dxa" w:w="2400"/>
            <w:shd w:fill="FFFFFF" w:val="clear"/>
            <w:tcMar>
              <w:top w:type="dxa" w:w="90"/>
              <w:left w:type="dxa" w:w="120"/>
              <w:bottom w:type="dxa" w:w="90"/>
              <w:right w:type="dxa" w:w="120"/>
            </w:tcMar>
            <w:vAlign w:val="center"/>
          </w:tcPr>
          <w:p>
            <w:pPr>
              <w:jc w:val="left"/>
            </w:pPr>
            <w:r>
              <w:rPr>
                <w:b w:val="false"/>
                <w:bCs w:val="false"/>
                <w:sz w:val="19"/>
                <w:szCs w:val="19"/>
              </w:rPr>
              <w:t xml:space="preserve">Icône</w:t>
            </w:r>
          </w:p>
        </w:tc>
        <w:tc>
          <w:tcPr>
            <w:tcW w:type="dxa" w:w="6600"/>
            <w:shd w:fill="FFFFFF" w:val="clear"/>
            <w:tcMar>
              <w:top w:type="dxa" w:w="90"/>
              <w:left w:type="dxa" w:w="120"/>
              <w:bottom w:type="dxa" w:w="90"/>
              <w:right w:type="dxa" w:w="120"/>
            </w:tcMar>
            <w:vAlign w:val="center"/>
          </w:tcPr>
          <w:p>
            <w:pPr>
              <w:jc w:val="left"/>
            </w:pPr>
            <w:r>
              <w:rPr>
                <w:b w:val="false"/>
                <w:bCs w:val="false"/>
                <w:sz w:val="19"/>
                <w:szCs w:val="19"/>
              </w:rPr>
              <w:t xml:space="preserve">Pictogramme au choix, pour repérer l'enveloppe visuellement.</w:t>
            </w:r>
          </w:p>
        </w:tc>
      </w:tr>
      <w:tr>
        <w:tc>
          <w:tcPr>
            <w:tcW w:type="dxa" w:w="2400"/>
            <w:shd w:fill="EEF0FF" w:val="clear"/>
            <w:tcMar>
              <w:top w:type="dxa" w:w="90"/>
              <w:left w:type="dxa" w:w="120"/>
              <w:bottom w:type="dxa" w:w="90"/>
              <w:right w:type="dxa" w:w="120"/>
            </w:tcMar>
            <w:vAlign w:val="center"/>
          </w:tcPr>
          <w:p>
            <w:pPr>
              <w:jc w:val="left"/>
            </w:pPr>
            <w:r>
              <w:rPr>
                <w:b w:val="false"/>
                <w:bCs w:val="false"/>
                <w:sz w:val="19"/>
                <w:szCs w:val="19"/>
              </w:rPr>
              <w:t xml:space="preserve">Montant alloué</w:t>
            </w:r>
          </w:p>
        </w:tc>
        <w:tc>
          <w:tcPr>
            <w:tcW w:type="dxa" w:w="6600"/>
            <w:shd w:fill="EEF0FF" w:val="clear"/>
            <w:tcMar>
              <w:top w:type="dxa" w:w="90"/>
              <w:left w:type="dxa" w:w="120"/>
              <w:bottom w:type="dxa" w:w="90"/>
              <w:right w:type="dxa" w:w="120"/>
            </w:tcMar>
            <w:vAlign w:val="center"/>
          </w:tcPr>
          <w:p>
            <w:pPr>
              <w:jc w:val="left"/>
            </w:pPr>
            <w:r>
              <w:rPr>
                <w:b w:val="false"/>
                <w:bCs w:val="false"/>
                <w:sz w:val="19"/>
                <w:szCs w:val="19"/>
              </w:rPr>
              <w:t xml:space="preserve">Montant que l'utilisateur attribue à cette enveloppe. Modifiable à tout moment (budget « modulable », pas figé sur un cycle imposé).</w:t>
            </w:r>
          </w:p>
        </w:tc>
      </w:tr>
      <w:tr>
        <w:tc>
          <w:tcPr>
            <w:tcW w:type="dxa" w:w="2400"/>
            <w:shd w:fill="FFFFFF" w:val="clear"/>
            <w:tcMar>
              <w:top w:type="dxa" w:w="90"/>
              <w:left w:type="dxa" w:w="120"/>
              <w:bottom w:type="dxa" w:w="90"/>
              <w:right w:type="dxa" w:w="120"/>
            </w:tcMar>
            <w:vAlign w:val="center"/>
          </w:tcPr>
          <w:p>
            <w:pPr>
              <w:jc w:val="left"/>
            </w:pPr>
            <w:r>
              <w:rPr>
                <w:b w:val="false"/>
                <w:bCs w:val="false"/>
                <w:sz w:val="19"/>
                <w:szCs w:val="19"/>
              </w:rPr>
              <w:t xml:space="preserve">Récurrence</w:t>
            </w:r>
          </w:p>
        </w:tc>
        <w:tc>
          <w:tcPr>
            <w:tcW w:type="dxa" w:w="6600"/>
            <w:shd w:fill="FFFFFF" w:val="clear"/>
            <w:tcMar>
              <w:top w:type="dxa" w:w="90"/>
              <w:left w:type="dxa" w:w="120"/>
              <w:bottom w:type="dxa" w:w="90"/>
              <w:right w:type="dxa" w:w="120"/>
            </w:tcMar>
            <w:vAlign w:val="center"/>
          </w:tcPr>
          <w:p>
            <w:pPr>
              <w:jc w:val="left"/>
            </w:pPr>
            <w:r>
              <w:rPr>
                <w:b w:val="false"/>
                <w:bCs w:val="false"/>
                <w:sz w:val="19"/>
                <w:szCs w:val="19"/>
              </w:rPr>
              <w:t xml:space="preserve">Récurrente (le montant se réinitialise à chaque cycle) ou ponctuelle (reste active jusqu'à suppression/archivage). Réglable indépendamment pour chaque enveloppe.</w:t>
            </w:r>
          </w:p>
        </w:tc>
      </w:tr>
      <w:tr>
        <w:tc>
          <w:tcPr>
            <w:tcW w:type="dxa" w:w="2400"/>
            <w:shd w:fill="EEF0FF" w:val="clear"/>
            <w:tcMar>
              <w:top w:type="dxa" w:w="90"/>
              <w:left w:type="dxa" w:w="120"/>
              <w:bottom w:type="dxa" w:w="90"/>
              <w:right w:type="dxa" w:w="120"/>
            </w:tcMar>
            <w:vAlign w:val="center"/>
          </w:tcPr>
          <w:p>
            <w:pPr>
              <w:jc w:val="left"/>
            </w:pPr>
            <w:r>
              <w:rPr>
                <w:b w:val="false"/>
                <w:bCs w:val="false"/>
                <w:sz w:val="19"/>
                <w:szCs w:val="19"/>
              </w:rPr>
              <w:t xml:space="preserve">Cycle</w:t>
            </w:r>
          </w:p>
        </w:tc>
        <w:tc>
          <w:tcPr>
            <w:tcW w:type="dxa" w:w="6600"/>
            <w:shd w:fill="EEF0FF" w:val="clear"/>
            <w:tcMar>
              <w:top w:type="dxa" w:w="90"/>
              <w:left w:type="dxa" w:w="120"/>
              <w:bottom w:type="dxa" w:w="90"/>
              <w:right w:type="dxa" w:w="120"/>
            </w:tcMar>
            <w:vAlign w:val="center"/>
          </w:tcPr>
          <w:p>
            <w:pPr>
              <w:jc w:val="left"/>
            </w:pPr>
            <w:r>
              <w:rPr>
                <w:b w:val="false"/>
                <w:bCs w:val="false"/>
                <w:sz w:val="19"/>
                <w:szCs w:val="19"/>
              </w:rPr>
              <w:t xml:space="preserve">Cycle global par défaut, ou cycle personnalisé propre à cette enveloppe si l'utilisateur le définit (ex : du 25 du mois au 25 du mois suivant).</w:t>
            </w:r>
          </w:p>
        </w:tc>
      </w:tr>
      <w:tr>
        <w:tc>
          <w:tcPr>
            <w:tcW w:type="dxa" w:w="2400"/>
            <w:shd w:fill="FFFFFF" w:val="clear"/>
            <w:tcMar>
              <w:top w:type="dxa" w:w="90"/>
              <w:left w:type="dxa" w:w="120"/>
              <w:bottom w:type="dxa" w:w="90"/>
              <w:right w:type="dxa" w:w="120"/>
            </w:tcMar>
            <w:vAlign w:val="center"/>
          </w:tcPr>
          <w:p>
            <w:pPr>
              <w:jc w:val="left"/>
            </w:pPr>
            <w:r>
              <w:rPr>
                <w:b w:val="false"/>
                <w:bCs w:val="false"/>
                <w:sz w:val="19"/>
                <w:szCs w:val="19"/>
              </w:rPr>
              <w:t xml:space="preserve">Enveloppe parente</w:t>
            </w:r>
          </w:p>
        </w:tc>
        <w:tc>
          <w:tcPr>
            <w:tcW w:type="dxa" w:w="6600"/>
            <w:shd w:fill="FFFFFF" w:val="clear"/>
            <w:tcMar>
              <w:top w:type="dxa" w:w="90"/>
              <w:left w:type="dxa" w:w="120"/>
              <w:bottom w:type="dxa" w:w="90"/>
              <w:right w:type="dxa" w:w="120"/>
            </w:tcMar>
            <w:vAlign w:val="center"/>
          </w:tcPr>
          <w:p>
            <w:pPr>
              <w:jc w:val="left"/>
            </w:pPr>
            <w:r>
              <w:rPr>
                <w:b w:val="false"/>
                <w:bCs w:val="false"/>
                <w:sz w:val="19"/>
                <w:szCs w:val="19"/>
              </w:rPr>
              <w:t xml:space="preserve">Référence vers le nœud parent (nulle pour le budget général, racine de l'arborescence).</w:t>
            </w:r>
          </w:p>
        </w:tc>
      </w:tr>
      <w:tr>
        <w:tc>
          <w:tcPr>
            <w:tcW w:type="dxa" w:w="2400"/>
            <w:shd w:fill="EEF0FF" w:val="clear"/>
            <w:tcMar>
              <w:top w:type="dxa" w:w="90"/>
              <w:left w:type="dxa" w:w="120"/>
              <w:bottom w:type="dxa" w:w="90"/>
              <w:right w:type="dxa" w:w="120"/>
            </w:tcMar>
            <w:vAlign w:val="center"/>
          </w:tcPr>
          <w:p>
            <w:pPr>
              <w:jc w:val="left"/>
            </w:pPr>
            <w:r>
              <w:rPr>
                <w:b w:val="false"/>
                <w:bCs w:val="false"/>
                <w:sz w:val="19"/>
                <w:szCs w:val="19"/>
              </w:rPr>
              <w:t xml:space="preserve">Statut</w:t>
            </w:r>
          </w:p>
        </w:tc>
        <w:tc>
          <w:tcPr>
            <w:tcW w:type="dxa" w:w="6600"/>
            <w:shd w:fill="EEF0FF" w:val="clear"/>
            <w:tcMar>
              <w:top w:type="dxa" w:w="90"/>
              <w:left w:type="dxa" w:w="120"/>
              <w:bottom w:type="dxa" w:w="90"/>
              <w:right w:type="dxa" w:w="120"/>
            </w:tcMar>
            <w:vAlign w:val="center"/>
          </w:tcPr>
          <w:p>
            <w:pPr>
              <w:jc w:val="left"/>
            </w:pPr>
            <w:r>
              <w:rPr>
                <w:b w:val="false"/>
                <w:bCs w:val="false"/>
                <w:sz w:val="19"/>
                <w:szCs w:val="19"/>
              </w:rPr>
              <w:t xml:space="preserve">Active ou archivée.</w:t>
            </w:r>
          </w:p>
        </w:tc>
      </w:tr>
    </w:tbl>
    <w:p>
      <w:pPr>
        <w:pStyle w:val="Heading2"/>
        <w:spacing w:after="140" w:before="320"/>
      </w:pPr>
      <w:r>
        <w:rPr>
          <w:b/>
          <w:bCs/>
          <w:color w:val="4F46E5"/>
          <w:sz w:val="24"/>
          <w:szCs w:val="24"/>
        </w:rPr>
        <w:t xml:space="preserve">3.3 Règles d'allocation</w:t>
      </w:r>
    </w:p>
    <w:p>
      <w:pPr>
        <w:spacing w:after="160" w:line="300"/>
      </w:pPr>
      <w:r>
        <w:rPr>
          <w:sz w:val="21"/>
          <w:szCs w:val="21"/>
        </w:rPr>
        <w:t xml:space="preserve">Ces règles garantissent la cohérence de l'arborescence :</w:t>
      </w:r>
    </w:p>
    <w:p>
      <w:pPr>
        <w:pStyle w:val="ListParagraph"/>
        <w:numPr>
          <w:ilvl w:val="0"/>
          <w:numId w:val="3"/>
        </w:numPr>
        <w:spacing w:after="90" w:line="290"/>
      </w:pPr>
      <w:r>
        <w:rPr>
          <w:sz w:val="21"/>
          <w:szCs w:val="21"/>
        </w:rPr>
        <w:t xml:space="preserve">La somme des montants alloués aux enveloppes enfants d'un nœud ne peut jamais dépasser le montant alloué à ce nœud parent. Toute tentative de dépassement est bloquée par le système.</w:t>
      </w:r>
    </w:p>
    <w:p>
      <w:pPr>
        <w:pStyle w:val="ListParagraph"/>
        <w:numPr>
          <w:ilvl w:val="0"/>
          <w:numId w:val="3"/>
        </w:numPr>
        <w:spacing w:after="90" w:line="290"/>
      </w:pPr>
      <w:r>
        <w:rPr>
          <w:sz w:val="21"/>
          <w:szCs w:val="21"/>
        </w:rPr>
        <w:t xml:space="preserve">Une enveloppe peut recevoir des transactions directement même si elle possède déjà des sous-enveloppes. Le montant disponible pour ces transactions directes correspond au montant alloué au nœud, diminué de ce qui est déjà réparti à ses enfants.</w:t>
      </w:r>
    </w:p>
    <w:p>
      <w:pPr>
        <w:pStyle w:val="ListParagraph"/>
        <w:numPr>
          <w:ilvl w:val="0"/>
          <w:numId w:val="3"/>
        </w:numPr>
        <w:spacing w:after="90" w:line="290"/>
      </w:pPr>
      <w:r>
        <w:rPr>
          <w:sz w:val="21"/>
          <w:szCs w:val="21"/>
        </w:rPr>
        <w:t xml:space="preserve">Un utilisateur peut transférer un montant d'une enveloppe vers une autre (par exemple, déplacer un reliquat de « Loisirs » vers « Imprévus »), à condition de respecter la règle d'allocation ci-dessus sur l'enveloppe de destination.</w:t>
      </w:r>
    </w:p>
    <w:p>
      <w:pPr>
        <w:pStyle w:val="Heading2"/>
        <w:spacing w:after="140" w:before="320"/>
      </w:pPr>
      <w:r>
        <w:rPr>
          <w:b/>
          <w:bCs/>
          <w:color w:val="4F46E5"/>
          <w:sz w:val="24"/>
          <w:szCs w:val="24"/>
        </w:rPr>
        <w:t xml:space="preserve">3.4 Cycle budgétaire</w:t>
      </w:r>
    </w:p>
    <w:p>
      <w:pPr>
        <w:spacing w:after="160" w:line="300"/>
      </w:pPr>
      <w:r>
        <w:rPr>
          <w:sz w:val="21"/>
          <w:szCs w:val="21"/>
        </w:rPr>
        <w:t xml:space="preserve">L'utilisateur définit un cycle global par défaut pour l'ensemble de son budget (par exemple, du 25 d'un mois au 25 du suivant, pour s'aligner sur une date de versement de salaire). Chaque enveloppe récurrente peut, en option, définir son propre cycle si elle doit fonctionner différemment du reste du budget.</w:t>
      </w:r>
    </w:p>
    <w:p>
      <w:pPr>
        <w:pStyle w:val="Heading2"/>
        <w:spacing w:after="140" w:before="320"/>
      </w:pPr>
      <w:r>
        <w:rPr>
          <w:b/>
          <w:bCs/>
          <w:color w:val="4F46E5"/>
          <w:sz w:val="24"/>
          <w:szCs w:val="24"/>
        </w:rPr>
        <w:t xml:space="preserve">3.5 Archivage</w:t>
      </w:r>
    </w:p>
    <w:p>
      <w:pPr>
        <w:spacing w:after="160" w:line="300"/>
      </w:pPr>
      <w:r>
        <w:rPr>
          <w:sz w:val="21"/>
          <w:szCs w:val="21"/>
        </w:rPr>
        <w:t xml:space="preserve">La suppression d'une enveloppe qui contient déjà des transactions n'est jamais définitive : l'enveloppe est archivée. Elle disparaît de la vue active mais reste consultable dans l'historique, avec toutes ses transactions passées intactes. Une enveloppe vide (sans transaction) peut être supprimée définitivement.</w:t>
      </w:r>
    </w:p>
    <w:p>
      <w:pPr>
        <w:pStyle w:val="Heading1"/>
        <w:spacing w:after="200" w:before="480"/>
      </w:pPr>
      <w:r>
        <w:rPr>
          <w:b/>
          <w:bCs/>
          <w:color w:val="1F2937"/>
          <w:sz w:val="30"/>
          <w:szCs w:val="30"/>
        </w:rPr>
        <w:t xml:space="preserve">4. Gestion des transactions</w:t>
      </w:r>
    </w:p>
    <w:p>
      <w:pPr>
        <w:pStyle w:val="Heading2"/>
        <w:spacing w:after="140" w:before="320"/>
      </w:pPr>
      <w:r>
        <w:rPr>
          <w:b/>
          <w:bCs/>
          <w:color w:val="4F46E5"/>
          <w:sz w:val="24"/>
          <w:szCs w:val="24"/>
        </w:rPr>
        <w:t xml:space="preserve">4.1 Transaction simple</w:t>
      </w:r>
    </w:p>
    <w:p>
      <w:pPr>
        <w:spacing w:after="160" w:line="300"/>
      </w:pPr>
      <w:r>
        <w:rPr>
          <w:sz w:val="21"/>
          <w:szCs w:val="21"/>
        </w:rPr>
        <w:t xml:space="preserve">Une transaction représente un revenu ou une dépense. Elle comporte :</w:t>
      </w:r>
    </w:p>
    <w:p>
      <w:pPr>
        <w:pStyle w:val="ListParagraph"/>
        <w:numPr>
          <w:ilvl w:val="0"/>
          <w:numId w:val="2"/>
        </w:numPr>
        <w:spacing w:after="90" w:line="290"/>
      </w:pPr>
      <w:r>
        <w:rPr>
          <w:sz w:val="21"/>
          <w:szCs w:val="21"/>
        </w:rPr>
        <w:t xml:space="preserve">un montant ;</w:t>
      </w:r>
    </w:p>
    <w:p>
      <w:pPr>
        <w:pStyle w:val="ListParagraph"/>
        <w:numPr>
          <w:ilvl w:val="0"/>
          <w:numId w:val="2"/>
        </w:numPr>
        <w:spacing w:after="90" w:line="290"/>
      </w:pPr>
      <w:r>
        <w:rPr>
          <w:sz w:val="21"/>
          <w:szCs w:val="21"/>
        </w:rPr>
        <w:t xml:space="preserve">un type (revenu ou dépense) ;</w:t>
      </w:r>
    </w:p>
    <w:p>
      <w:pPr>
        <w:pStyle w:val="ListParagraph"/>
        <w:numPr>
          <w:ilvl w:val="0"/>
          <w:numId w:val="2"/>
        </w:numPr>
        <w:spacing w:after="90" w:line="290"/>
      </w:pPr>
      <w:r>
        <w:rPr>
          <w:sz w:val="21"/>
          <w:szCs w:val="21"/>
        </w:rPr>
        <w:t xml:space="preserve">une date ;</w:t>
      </w:r>
    </w:p>
    <w:p>
      <w:pPr>
        <w:pStyle w:val="ListParagraph"/>
        <w:numPr>
          <w:ilvl w:val="0"/>
          <w:numId w:val="2"/>
        </w:numPr>
        <w:spacing w:after="90" w:line="290"/>
      </w:pPr>
      <w:r>
        <w:rPr>
          <w:sz w:val="21"/>
          <w:szCs w:val="21"/>
        </w:rPr>
        <w:t xml:space="preserve">une description libre ;</w:t>
      </w:r>
    </w:p>
    <w:p>
      <w:pPr>
        <w:pStyle w:val="ListParagraph"/>
        <w:numPr>
          <w:ilvl w:val="0"/>
          <w:numId w:val="2"/>
        </w:numPr>
        <w:spacing w:after="90" w:line="290"/>
      </w:pPr>
      <w:r>
        <w:rPr>
          <w:sz w:val="21"/>
          <w:szCs w:val="21"/>
        </w:rPr>
        <w:t xml:space="preserve">l'enveloppe à laquelle elle est rattachée (n'importe quel nœud de l'arborescence, feuille ou non) ;</w:t>
      </w:r>
    </w:p>
    <w:p>
      <w:pPr>
        <w:pStyle w:val="ListParagraph"/>
        <w:numPr>
          <w:ilvl w:val="0"/>
          <w:numId w:val="2"/>
        </w:numPr>
        <w:spacing w:after="90" w:line="290"/>
      </w:pPr>
      <w:r>
        <w:rPr>
          <w:sz w:val="21"/>
          <w:szCs w:val="21"/>
        </w:rPr>
        <w:t xml:space="preserve">une pièce justificative optionnelle (photo de reçu ou de facture).</w:t>
      </w:r>
    </w:p>
    <w:p>
      <w:pPr>
        <w:pStyle w:val="Heading2"/>
        <w:spacing w:after="140" w:before="320"/>
      </w:pPr>
      <w:r>
        <w:rPr>
          <w:b/>
          <w:bCs/>
          <w:color w:val="4F46E5"/>
          <w:sz w:val="24"/>
          <w:szCs w:val="24"/>
        </w:rPr>
        <w:t xml:space="preserve">4.2 Transactions récurrentes</w:t>
      </w:r>
    </w:p>
    <w:p>
      <w:pPr>
        <w:spacing w:after="160" w:line="300"/>
      </w:pPr>
      <w:r>
        <w:rPr>
          <w:sz w:val="21"/>
          <w:szCs w:val="21"/>
        </w:rPr>
        <w:t xml:space="preserve">L'utilisateur peut définir une transaction comme récurrente, avec une fréquence personnalisable (pas seulement des presets fixes comme « mensuel » — l'utilisateur doit pouvoir définir un intervalle libre, par exemple tous les 45 jours).</w:t>
      </w:r>
    </w:p>
    <w:p>
      <w:pPr>
        <w:spacing w:after="160" w:line="300"/>
      </w:pPr>
      <w:r>
        <w:rPr>
          <w:sz w:val="21"/>
          <w:szCs w:val="21"/>
        </w:rPr>
        <w:t xml:space="preserve">Si une transaction récurrente doit se déclencher mais que l'enveloppe concernée n'a plus assez de budget disponible, elle n'est pas créée automatiquement : elle est mise en attente, et une notification est envoyée à l'utilisateur pour qu'il la confirme manuellement avant qu'elle ne soit enregistrée.</w:t>
      </w:r>
    </w:p>
    <w:p>
      <w:pPr>
        <w:spacing w:after="160" w:line="300"/>
      </w:pPr>
      <w:r>
        <w:rPr>
          <w:sz w:val="21"/>
          <w:szCs w:val="21"/>
        </w:rPr>
        <w:t xml:space="preserve">L'utilisateur peut à tout moment modifier ou supprimer une occurrence future sans affecter les occurrences déjà passées.</w:t>
      </w:r>
    </w:p>
    <w:p>
      <w:pPr>
        <w:pStyle w:val="Heading2"/>
        <w:spacing w:after="140" w:before="320"/>
      </w:pPr>
      <w:r>
        <w:rPr>
          <w:b/>
          <w:bCs/>
          <w:color w:val="4F46E5"/>
          <w:sz w:val="24"/>
          <w:szCs w:val="24"/>
        </w:rPr>
        <w:t xml:space="preserve">4.3 Gestion des dépassements</w:t>
      </w:r>
    </w:p>
    <w:p>
      <w:pPr>
        <w:spacing w:after="160" w:line="300"/>
      </w:pPr>
      <w:r>
        <w:rPr>
          <w:sz w:val="21"/>
          <w:szCs w:val="21"/>
        </w:rPr>
        <w:t xml:space="preserve">Si une enveloppe est dépassée par une transaction saisie manuellement, la transaction est acceptée et l'enveloppe affiche un solde négatif accompagné d'une alerte visuelle. Ce comportement diffère du cas des transactions récurrentes automatiques (voir 4.2), qui elles sont mises en attente de confirmation.</w:t>
      </w:r>
    </w:p>
    <w:p>
      <w:pPr>
        <w:pStyle w:val="Heading1"/>
        <w:spacing w:after="200" w:before="480"/>
      </w:pPr>
      <w:r>
        <w:rPr>
          <w:b/>
          <w:bCs/>
          <w:color w:val="1F2937"/>
          <w:sz w:val="30"/>
          <w:szCs w:val="30"/>
        </w:rPr>
        <w:t xml:space="preserve">5. Historique des actions et annulation</w:t>
      </w:r>
    </w:p>
    <w:p>
      <w:pPr>
        <w:spacing w:after="160" w:line="300"/>
      </w:pPr>
      <w:r>
        <w:rPr>
          <w:sz w:val="21"/>
          <w:szCs w:val="21"/>
        </w:rPr>
        <w:t xml:space="preserve">Toute action effectuée dans l'application est consignée dans un journal d'activité : création, modification ou archivage d'une enveloppe, ajout/modification/suppression d'une transaction, transfert entre enveloppes, changement de devise, etc. Ce journal est consultable par l'utilisateur (écran « Activité récente »).</w:t>
      </w:r>
    </w:p>
    <w:p>
      <w:pPr>
        <w:spacing w:after="160" w:line="300"/>
      </w:pPr>
      <w:r>
        <w:rPr>
          <w:sz w:val="21"/>
          <w:szCs w:val="21"/>
        </w:rPr>
        <w:t xml:space="preserve">Ce même journal sert de base à une fonction d'annulation, façon « Ctrl+Z » : l'utilisateur peut annuler la dernière action effectuée, puis celle d'avant, dans l'ordre chronologique inverse. L'annulation ne permet pas de revenir directement sur une action ancienne sans annuler d'abord toutes les actions plus récentes qui en dépendent — ce choix évite les conflits (par exemple, annuler la création d'une enveloppe qui contient déjà des dizaines de transactions).</w:t>
      </w:r>
    </w:p>
    <w:p>
      <w:pPr>
        <w:pStyle w:val="Heading1"/>
        <w:spacing w:after="200" w:before="480"/>
      </w:pPr>
      <w:r>
        <w:rPr>
          <w:b/>
          <w:bCs/>
          <w:color w:val="1F2937"/>
          <w:sz w:val="30"/>
          <w:szCs w:val="30"/>
        </w:rPr>
        <w:t xml:space="preserve">6. Notifications</w:t>
      </w:r>
    </w:p>
    <w:p>
      <w:pPr>
        <w:spacing w:after="160" w:line="300"/>
      </w:pPr>
      <w:r>
        <w:rPr>
          <w:sz w:val="21"/>
          <w:szCs w:val="21"/>
        </w:rPr>
        <w:t xml:space="preserve">Les notifications sont envoyées sous forme de notifications push, via les capacités natives de l'application installée (PWA) — pas par email.</w:t>
      </w:r>
    </w:p>
    <w:p>
      <w:pPr>
        <w:spacing w:after="160" w:line="300"/>
      </w:pPr>
      <w:r>
        <w:rPr>
          <w:sz w:val="21"/>
          <w:szCs w:val="21"/>
        </w:rPr>
        <w:t xml:space="preserve">Deux déclencheurs sont prévus pour la v1 :</w:t>
      </w:r>
    </w:p>
    <w:p>
      <w:pPr>
        <w:pStyle w:val="ListParagraph"/>
        <w:numPr>
          <w:ilvl w:val="0"/>
          <w:numId w:val="2"/>
        </w:numPr>
        <w:spacing w:after="90" w:line="290"/>
      </w:pPr>
      <w:r>
        <w:rPr>
          <w:b/>
          <w:bCs/>
          <w:sz w:val="21"/>
          <w:szCs w:val="21"/>
        </w:rPr>
        <w:t xml:space="preserve">Seuil d'alerte configurable — </w:t>
      </w:r>
      <w:r>
        <w:rPr>
          <w:sz w:val="21"/>
          <w:szCs w:val="21"/>
        </w:rPr>
        <w:t xml:space="preserve">l'utilisateur définit un pourcentage (par exemple 80 %) à partir duquel il souhaite être alerté qu'une enveloppe approche de son plafond.</w:t>
      </w:r>
    </w:p>
    <w:p>
      <w:pPr>
        <w:pStyle w:val="ListParagraph"/>
        <w:numPr>
          <w:ilvl w:val="0"/>
          <w:numId w:val="2"/>
        </w:numPr>
        <w:spacing w:after="90" w:line="290"/>
      </w:pPr>
      <w:r>
        <w:rPr>
          <w:b/>
          <w:bCs/>
          <w:sz w:val="21"/>
          <w:szCs w:val="21"/>
        </w:rPr>
        <w:t xml:space="preserve">Dépassement complet — </w:t>
      </w:r>
      <w:r>
        <w:rPr>
          <w:sz w:val="21"/>
          <w:szCs w:val="21"/>
        </w:rPr>
        <w:t xml:space="preserve">notification lorsqu'une enveloppe atteint ou dépasse 100 % de son montant alloué.</w:t>
      </w:r>
    </w:p>
    <w:p>
      <w:pPr>
        <w:spacing w:after="160" w:line="300"/>
      </w:pPr>
      <w:r>
        <w:rPr>
          <w:sz w:val="21"/>
          <w:szCs w:val="21"/>
        </w:rPr>
        <w:t xml:space="preserve">Le seuil est configurable globalement, avec possibilité de l'ajuster enveloppe par enveloppe si l'utilisateur le souhaite.</w:t>
      </w:r>
    </w:p>
    <w:p>
      <w:pPr>
        <w:pStyle w:val="Heading1"/>
        <w:spacing w:after="200" w:before="480"/>
      </w:pPr>
      <w:r>
        <w:rPr>
          <w:b/>
          <w:bCs/>
          <w:color w:val="1F2937"/>
          <w:sz w:val="30"/>
          <w:szCs w:val="30"/>
        </w:rPr>
        <w:t xml:space="preserve">7. Tableau de bord et rapports</w:t>
      </w:r>
    </w:p>
    <w:p>
      <w:pPr>
        <w:spacing w:after="160" w:line="300"/>
      </w:pPr>
      <w:r>
        <w:rPr>
          <w:sz w:val="21"/>
          <w:szCs w:val="21"/>
        </w:rPr>
        <w:t xml:space="preserve">Le tableau de bord doit répondre à deux besoins complémentaires :</w:t>
      </w:r>
    </w:p>
    <w:p>
      <w:pPr>
        <w:pStyle w:val="Heading3"/>
        <w:spacing w:after="100" w:before="220"/>
      </w:pPr>
      <w:r>
        <w:rPr>
          <w:b/>
          <w:bCs/>
          <w:color w:val="1F2937"/>
          <w:sz w:val="21"/>
          <w:szCs w:val="21"/>
        </w:rPr>
        <w:t xml:space="preserve">7.1 État actuel</w:t>
      </w:r>
    </w:p>
    <w:p>
      <w:pPr>
        <w:pStyle w:val="ListParagraph"/>
        <w:numPr>
          <w:ilvl w:val="0"/>
          <w:numId w:val="2"/>
        </w:numPr>
        <w:spacing w:after="90" w:line="290"/>
      </w:pPr>
      <w:r>
        <w:rPr>
          <w:sz w:val="21"/>
          <w:szCs w:val="21"/>
        </w:rPr>
        <w:t xml:space="preserve">Vue de l'arborescence des enveloppes actives, avec le montant consommé et le montant restant pour chacune.</w:t>
      </w:r>
    </w:p>
    <w:p>
      <w:pPr>
        <w:pStyle w:val="ListParagraph"/>
        <w:numPr>
          <w:ilvl w:val="0"/>
          <w:numId w:val="2"/>
        </w:numPr>
        <w:spacing w:after="90" w:line="290"/>
      </w:pPr>
      <w:r>
        <w:rPr>
          <w:sz w:val="21"/>
          <w:szCs w:val="21"/>
        </w:rPr>
        <w:t xml:space="preserve">Répartition des dépenses par enveloppe sur la période en cours (graphique).</w:t>
      </w:r>
    </w:p>
    <w:p>
      <w:pPr>
        <w:pStyle w:val="ListParagraph"/>
        <w:numPr>
          <w:ilvl w:val="0"/>
          <w:numId w:val="2"/>
        </w:numPr>
        <w:spacing w:after="90" w:line="290"/>
      </w:pPr>
      <w:r>
        <w:rPr>
          <w:sz w:val="21"/>
          <w:szCs w:val="21"/>
        </w:rPr>
        <w:t xml:space="preserve">Enveloppes en alerte ou en dépassement, mises en évidence.</w:t>
      </w:r>
    </w:p>
    <w:p>
      <w:pPr>
        <w:pStyle w:val="Heading3"/>
        <w:spacing w:after="100" w:before="220"/>
      </w:pPr>
      <w:r>
        <w:rPr>
          <w:b/>
          <w:bCs/>
          <w:color w:val="1F2937"/>
          <w:sz w:val="21"/>
          <w:szCs w:val="21"/>
        </w:rPr>
        <w:t xml:space="preserve">7.2 Historique et tendances</w:t>
      </w:r>
    </w:p>
    <w:p>
      <w:pPr>
        <w:pStyle w:val="ListParagraph"/>
        <w:numPr>
          <w:ilvl w:val="0"/>
          <w:numId w:val="2"/>
        </w:numPr>
        <w:spacing w:after="90" w:line="290"/>
      </w:pPr>
      <w:r>
        <w:rPr>
          <w:sz w:val="21"/>
          <w:szCs w:val="21"/>
        </w:rPr>
        <w:t xml:space="preserve">Évolution des revenus et des dépenses dans le temps (graphique par cycle budgétaire).</w:t>
      </w:r>
    </w:p>
    <w:p>
      <w:pPr>
        <w:pStyle w:val="ListParagraph"/>
        <w:numPr>
          <w:ilvl w:val="0"/>
          <w:numId w:val="2"/>
        </w:numPr>
        <w:spacing w:after="90" w:line="290"/>
      </w:pPr>
      <w:r>
        <w:rPr>
          <w:sz w:val="21"/>
          <w:szCs w:val="21"/>
        </w:rPr>
        <w:t xml:space="preserve">Comparaison budget alloué / dépenses réelles sur les cycles précédents.</w:t>
      </w:r>
    </w:p>
    <w:p>
      <w:pPr>
        <w:pStyle w:val="Heading1"/>
        <w:spacing w:after="200" w:before="480"/>
      </w:pPr>
      <w:r>
        <w:rPr>
          <w:b/>
          <w:bCs/>
          <w:color w:val="1F2937"/>
          <w:sz w:val="30"/>
          <w:szCs w:val="30"/>
        </w:rPr>
        <w:t xml:space="preserve">8. Export des données</w:t>
      </w:r>
    </w:p>
    <w:p>
      <w:pPr>
        <w:spacing w:after="160" w:line="300"/>
      </w:pPr>
      <w:r>
        <w:rPr>
          <w:sz w:val="21"/>
          <w:szCs w:val="21"/>
        </w:rPr>
        <w:t xml:space="preserve">L'utilisateur peut exporter l'historique brut de ses transactions, aux formats CSV et PDF. L'export peut être filtré par période et/ou par enveloppe.</w:t>
      </w:r>
    </w:p>
    <w:p>
      <w:pPr>
        <w:pStyle w:val="Heading1"/>
        <w:spacing w:after="200" w:before="480"/>
      </w:pPr>
      <w:r>
        <w:rPr>
          <w:b/>
          <w:bCs/>
          <w:color w:val="1F2937"/>
          <w:sz w:val="30"/>
          <w:szCs w:val="30"/>
        </w:rPr>
        <w:t xml:space="preserve">9. Compte utilisateur</w:t>
      </w:r>
    </w:p>
    <w:p>
      <w:pPr>
        <w:pStyle w:val="Heading2"/>
        <w:spacing w:after="140" w:before="320"/>
      </w:pPr>
      <w:r>
        <w:rPr>
          <w:b/>
          <w:bCs/>
          <w:color w:val="4F46E5"/>
          <w:sz w:val="24"/>
          <w:szCs w:val="24"/>
        </w:rPr>
        <w:t xml:space="preserve">9.1 Inscription et connexion</w:t>
      </w:r>
    </w:p>
    <w:p>
      <w:pPr>
        <w:pStyle w:val="ListParagraph"/>
        <w:numPr>
          <w:ilvl w:val="0"/>
          <w:numId w:val="2"/>
        </w:numPr>
        <w:spacing w:after="90" w:line="290"/>
      </w:pPr>
      <w:r>
        <w:rPr>
          <w:sz w:val="21"/>
          <w:szCs w:val="21"/>
        </w:rPr>
        <w:t xml:space="preserve">Inscription et connexion par email et mot de passe.</w:t>
      </w:r>
    </w:p>
    <w:p>
      <w:pPr>
        <w:pStyle w:val="ListParagraph"/>
        <w:numPr>
          <w:ilvl w:val="0"/>
          <w:numId w:val="2"/>
        </w:numPr>
        <w:spacing w:after="90" w:line="290"/>
      </w:pPr>
      <w:r>
        <w:rPr>
          <w:sz w:val="21"/>
          <w:szCs w:val="21"/>
        </w:rPr>
        <w:t xml:space="preserve">La vérification de l'adresse email n'est pas obligatoire pour commencer à utiliser l'application (mais reste recommandée, notamment pour la récupération de mot de passe).</w:t>
      </w:r>
    </w:p>
    <w:p>
      <w:pPr>
        <w:pStyle w:val="ListParagraph"/>
        <w:numPr>
          <w:ilvl w:val="0"/>
          <w:numId w:val="2"/>
        </w:numPr>
        <w:spacing w:after="90" w:line="290"/>
      </w:pPr>
      <w:r>
        <w:rPr>
          <w:sz w:val="21"/>
          <w:szCs w:val="21"/>
        </w:rPr>
        <w:t xml:space="preserve">Récupération de mot de passe par lien envoyé par email.</w:t>
      </w:r>
    </w:p>
    <w:p>
      <w:pPr>
        <w:pStyle w:val="Heading2"/>
        <w:spacing w:after="140" w:before="320"/>
      </w:pPr>
      <w:r>
        <w:rPr>
          <w:b/>
          <w:bCs/>
          <w:color w:val="4F46E5"/>
          <w:sz w:val="24"/>
          <w:szCs w:val="24"/>
        </w:rPr>
        <w:t xml:space="preserve">9.2 Parcours d'accueil (onboarding)</w:t>
      </w:r>
    </w:p>
    <w:p>
      <w:pPr>
        <w:spacing w:after="160" w:line="300"/>
      </w:pPr>
      <w:r>
        <w:rPr>
          <w:sz w:val="21"/>
          <w:szCs w:val="21"/>
        </w:rPr>
        <w:t xml:space="preserve">À l'inscription, l'utilisateur est guidé par un assistant en quelques étapes : définir son budget général de départ, puis créer ses premières enveloppes. Il n'arrive pas sur un tableau de bord vide sans accompagnement.</w:t>
      </w:r>
    </w:p>
    <w:p>
      <w:pPr>
        <w:pStyle w:val="Heading2"/>
        <w:spacing w:after="140" w:before="320"/>
      </w:pPr>
      <w:r>
        <w:rPr>
          <w:b/>
          <w:bCs/>
          <w:color w:val="4F46E5"/>
          <w:sz w:val="24"/>
          <w:szCs w:val="24"/>
        </w:rPr>
        <w:t xml:space="preserve">9.3 Devise</w:t>
      </w:r>
    </w:p>
    <w:p>
      <w:pPr>
        <w:spacing w:after="160" w:line="300"/>
      </w:pPr>
      <w:r>
        <w:rPr>
          <w:sz w:val="21"/>
          <w:szCs w:val="21"/>
        </w:rPr>
        <w:t xml:space="preserve">L'utilisateur choisit sa devise à l'inscription (FCFA/XOF par défaut) et peut en changer ultérieurement dans ses paramètres. Lors d'un changement de devise, tous les montants historiques sont automatiquement reconvertis dans la nouvelle devise selon un taux de change.</w:t>
      </w:r>
    </w:p>
    <w:p>
      <w:pPr>
        <w:pStyle w:val="Heading2"/>
        <w:spacing w:after="140" w:before="320"/>
      </w:pPr>
      <w:r>
        <w:rPr>
          <w:b/>
          <w:bCs/>
          <w:color w:val="4F46E5"/>
          <w:sz w:val="24"/>
          <w:szCs w:val="24"/>
        </w:rPr>
        <w:t xml:space="preserve">9.4 Suppression de compte</w:t>
      </w:r>
    </w:p>
    <w:p>
      <w:pPr>
        <w:spacing w:after="160" w:line="300"/>
      </w:pPr>
      <w:r>
        <w:rPr>
          <w:sz w:val="21"/>
          <w:szCs w:val="21"/>
        </w:rPr>
        <w:t xml:space="preserve">L'utilisateur peut supprimer son compte à tout moment. Avant la suppression, l'application lui propose d'exporter l'ensemble de ses données. La suppression est ensuite définitive et immédiate : aucune période de rétention.</w:t>
      </w:r>
    </w:p>
    <w:p>
      <w:pPr>
        <w:pStyle w:val="Heading1"/>
        <w:spacing w:after="200" w:before="480"/>
      </w:pPr>
      <w:r>
        <w:rPr>
          <w:b/>
          <w:bCs/>
          <w:color w:val="1F2937"/>
          <w:sz w:val="30"/>
          <w:szCs w:val="30"/>
        </w:rPr>
        <w:t xml:space="preserve">10. Plateforme et exigences techniques</w:t>
      </w:r>
    </w:p>
    <w:p>
      <w:pPr>
        <w:pStyle w:val="Heading2"/>
        <w:spacing w:after="140" w:before="320"/>
      </w:pPr>
      <w:r>
        <w:rPr>
          <w:b/>
          <w:bCs/>
          <w:color w:val="4F46E5"/>
          <w:sz w:val="24"/>
          <w:szCs w:val="24"/>
        </w:rPr>
        <w:t xml:space="preserve">10.1 Application web installable (PWA)</w:t>
      </w:r>
    </w:p>
    <w:p>
      <w:pPr>
        <w:spacing w:after="160" w:line="300"/>
      </w:pPr>
      <w:r>
        <w:rPr>
          <w:sz w:val="21"/>
          <w:szCs w:val="21"/>
        </w:rPr>
        <w:t xml:space="preserve">Visio est une Progressive Web App : installable directement depuis le navigateur (icône sur l'écran d'accueil ou le bureau), sans passer par un store d'applications, tout en restant une application web classique côté développement.</w:t>
      </w:r>
    </w:p>
    <w:p>
      <w:pPr>
        <w:pStyle w:val="Heading2"/>
        <w:spacing w:after="140" w:before="320"/>
      </w:pPr>
      <w:r>
        <w:rPr>
          <w:b/>
          <w:bCs/>
          <w:color w:val="4F46E5"/>
          <w:sz w:val="24"/>
          <w:szCs w:val="24"/>
        </w:rPr>
        <w:t xml:space="preserve">10.2 Mode hors-ligne</w:t>
      </w:r>
    </w:p>
    <w:p>
      <w:pPr>
        <w:spacing w:after="160" w:line="300"/>
      </w:pPr>
      <w:r>
        <w:rPr>
          <w:sz w:val="21"/>
          <w:szCs w:val="21"/>
        </w:rPr>
        <w:t xml:space="preserve">Le mode hors-ligne est une exigence importante, pas une option secondaire : l'utilisateur doit pouvoir consulter son budget et saisir une transaction sans connexion internet. Les données saisies hors-ligne se synchronisent automatiquement dès que la connexion est rétablie. Ce point doit être pris en compte dès la conception de l'architecture (stockage local, gestion des conflits de synchronisation) et non ajouté après coup.</w:t>
      </w:r>
    </w:p>
    <w:p>
      <w:pPr>
        <w:pStyle w:val="Heading2"/>
        <w:spacing w:after="140" w:before="320"/>
      </w:pPr>
      <w:r>
        <w:rPr>
          <w:b/>
          <w:bCs/>
          <w:color w:val="4F46E5"/>
          <w:sz w:val="24"/>
          <w:szCs w:val="24"/>
        </w:rPr>
        <w:t xml:space="preserve">10.3 Stack technique pressentie</w:t>
      </w:r>
    </w:p>
    <w:p>
      <w:pPr>
        <w:spacing w:after="160" w:line="300"/>
      </w:pPr>
      <w:r>
        <w:rPr>
          <w:sz w:val="21"/>
          <w:szCs w:val="21"/>
        </w:rPr>
        <w:t xml:space="preserve">Une première version a été explorée avec Next.js et Supabase (choix cohérent avec un autre projet du porteur, Skany). Ce choix doit être reconfirmé par Claude Code au moment de la réalisation, en tenant compte en particulier de la contrainte de mode hors-ligne, qui a une influence directe sur l'architecture (stockage local, synchronisation, gestion des conflits).</w:t>
      </w:r>
    </w:p>
    <w:p>
      <w:pPr>
        <w:pStyle w:val="Heading2"/>
        <w:spacing w:after="140" w:before="320"/>
      </w:pPr>
      <w:r>
        <w:rPr>
          <w:b/>
          <w:bCs/>
          <w:color w:val="4F46E5"/>
          <w:sz w:val="24"/>
          <w:szCs w:val="24"/>
        </w:rPr>
        <w:t xml:space="preserve">10.4 Langue et localisation</w:t>
      </w:r>
    </w:p>
    <w:p>
      <w:pPr>
        <w:spacing w:after="160" w:line="300"/>
      </w:pPr>
      <w:r>
        <w:rPr>
          <w:sz w:val="21"/>
          <w:szCs w:val="21"/>
        </w:rPr>
        <w:t xml:space="preserve">Interface en français pour la v1. FCFA (XOF) comme devise par défaut, avec choix d'une autre devise possible dès l'inscription ou ultérieurement.</w:t>
      </w:r>
    </w:p>
    <w:p>
      <w:pPr>
        <w:pStyle w:val="Heading1"/>
        <w:spacing w:after="200" w:before="480"/>
      </w:pPr>
      <w:r>
        <w:rPr>
          <w:b/>
          <w:bCs/>
          <w:color w:val="1F2937"/>
          <w:sz w:val="30"/>
          <w:szCs w:val="30"/>
        </w:rPr>
        <w:t xml:space="preserve">11. Exigences non-fonctionnelles</w:t>
      </w:r>
    </w:p>
    <w:p>
      <w:pPr>
        <w:pStyle w:val="Heading2"/>
        <w:spacing w:after="140" w:before="320"/>
      </w:pPr>
      <w:r>
        <w:rPr>
          <w:b/>
          <w:bCs/>
          <w:color w:val="4F46E5"/>
          <w:sz w:val="24"/>
          <w:szCs w:val="24"/>
        </w:rPr>
        <w:t xml:space="preserve">11.1 Sécurité et confidentialité des données</w:t>
      </w:r>
    </w:p>
    <w:p>
      <w:pPr>
        <w:pStyle w:val="ListParagraph"/>
        <w:numPr>
          <w:ilvl w:val="0"/>
          <w:numId w:val="2"/>
        </w:numPr>
        <w:spacing w:after="90" w:line="290"/>
      </w:pPr>
      <w:r>
        <w:rPr>
          <w:sz w:val="21"/>
          <w:szCs w:val="21"/>
        </w:rPr>
        <w:t xml:space="preserve">Les données financières de chaque utilisateur ne sont accessibles qu'à lui-même (aucun partage en v1).</w:t>
      </w:r>
    </w:p>
    <w:p>
      <w:pPr>
        <w:pStyle w:val="ListParagraph"/>
        <w:numPr>
          <w:ilvl w:val="0"/>
          <w:numId w:val="2"/>
        </w:numPr>
        <w:spacing w:after="90" w:line="290"/>
      </w:pPr>
      <w:r>
        <w:rPr>
          <w:sz w:val="21"/>
          <w:szCs w:val="21"/>
        </w:rPr>
        <w:t xml:space="preserve">Mots de passe et sessions gérés selon les standards actuels (hachage des mots de passe, jamais stockés en clair).</w:t>
      </w:r>
    </w:p>
    <w:p>
      <w:pPr>
        <w:pStyle w:val="ListParagraph"/>
        <w:numPr>
          <w:ilvl w:val="0"/>
          <w:numId w:val="2"/>
        </w:numPr>
        <w:spacing w:after="90" w:line="290"/>
      </w:pPr>
      <w:r>
        <w:rPr>
          <w:sz w:val="21"/>
          <w:szCs w:val="21"/>
        </w:rPr>
        <w:t xml:space="preserve">Chiffrement des données en transit (HTTPS) systématique.</w:t>
      </w:r>
    </w:p>
    <w:p>
      <w:pPr>
        <w:pStyle w:val="ListParagraph"/>
        <w:numPr>
          <w:ilvl w:val="0"/>
          <w:numId w:val="2"/>
        </w:numPr>
        <w:spacing w:after="90" w:line="290"/>
      </w:pPr>
      <w:r>
        <w:rPr>
          <w:sz w:val="21"/>
          <w:szCs w:val="21"/>
        </w:rPr>
        <w:t xml:space="preserve">L'utilisateur peut exporter puis supprimer définitivement toutes ses données à tout moment (voir 9.4).</w:t>
      </w:r>
    </w:p>
    <w:p>
      <w:pPr>
        <w:pStyle w:val="Heading2"/>
        <w:spacing w:after="140" w:before="320"/>
      </w:pPr>
      <w:r>
        <w:rPr>
          <w:b/>
          <w:bCs/>
          <w:color w:val="4F46E5"/>
          <w:sz w:val="24"/>
          <w:szCs w:val="24"/>
        </w:rPr>
        <w:t xml:space="preserve">11.2 Performance</w:t>
      </w:r>
    </w:p>
    <w:p>
      <w:pPr>
        <w:pStyle w:val="ListParagraph"/>
        <w:numPr>
          <w:ilvl w:val="0"/>
          <w:numId w:val="2"/>
        </w:numPr>
        <w:spacing w:after="90" w:line="290"/>
      </w:pPr>
      <w:r>
        <w:rPr>
          <w:sz w:val="21"/>
          <w:szCs w:val="21"/>
        </w:rPr>
        <w:t xml:space="preserve">Le tableau de bord et la liste des transactions doivent rester réactifs même avec un historique de plusieurs milliers de transactions.</w:t>
      </w:r>
    </w:p>
    <w:p>
      <w:pPr>
        <w:pStyle w:val="ListParagraph"/>
        <w:numPr>
          <w:ilvl w:val="0"/>
          <w:numId w:val="2"/>
        </w:numPr>
        <w:spacing w:after="90" w:line="290"/>
      </w:pPr>
      <w:r>
        <w:rPr>
          <w:sz w:val="21"/>
          <w:szCs w:val="21"/>
        </w:rPr>
        <w:t xml:space="preserve">La synchronisation après une période hors-ligne ne doit pas bloquer l'utilisation de l'application.</w:t>
      </w:r>
    </w:p>
    <w:p>
      <w:pPr>
        <w:pStyle w:val="Heading2"/>
        <w:spacing w:after="140" w:before="320"/>
      </w:pPr>
      <w:r>
        <w:rPr>
          <w:b/>
          <w:bCs/>
          <w:color w:val="4F46E5"/>
          <w:sz w:val="24"/>
          <w:szCs w:val="24"/>
        </w:rPr>
        <w:t xml:space="preserve">11.3 Accessibilité et compatibilité</w:t>
      </w:r>
    </w:p>
    <w:p>
      <w:pPr>
        <w:pStyle w:val="ListParagraph"/>
        <w:numPr>
          <w:ilvl w:val="0"/>
          <w:numId w:val="2"/>
        </w:numPr>
        <w:spacing w:after="90" w:line="290"/>
      </w:pPr>
      <w:r>
        <w:rPr>
          <w:sz w:val="21"/>
          <w:szCs w:val="21"/>
        </w:rPr>
        <w:t xml:space="preserve">Interface utilisable sur mobile et sur ordinateur (responsive), avec une attention particulière au mobile, usage principal attendu.</w:t>
      </w:r>
    </w:p>
    <w:p>
      <w:pPr>
        <w:pStyle w:val="ListParagraph"/>
        <w:numPr>
          <w:ilvl w:val="0"/>
          <w:numId w:val="2"/>
        </w:numPr>
        <w:spacing w:after="90" w:line="290"/>
      </w:pPr>
      <w:r>
        <w:rPr>
          <w:sz w:val="21"/>
          <w:szCs w:val="21"/>
        </w:rPr>
        <w:t xml:space="preserve">Contrastes de couleurs et tailles de police respectant les standards d'accessibilité de base (WCAG AA).</w:t>
      </w:r>
    </w:p>
    <w:p>
      <w:pPr>
        <w:pStyle w:val="Heading1"/>
        <w:spacing w:after="200" w:before="480"/>
      </w:pPr>
      <w:r>
        <w:rPr>
          <w:b/>
          <w:bCs/>
          <w:color w:val="1F2937"/>
          <w:sz w:val="30"/>
          <w:szCs w:val="30"/>
        </w:rPr>
        <w:t xml:space="preserve">12. Mentions légales</w:t>
      </w:r>
    </w:p>
    <w:p>
      <w:pPr>
        <w:spacing w:after="160" w:line="300"/>
      </w:pPr>
      <w:r>
        <w:rPr>
          <w:sz w:val="21"/>
          <w:szCs w:val="21"/>
        </w:rPr>
        <w:t xml:space="preserve">Bien que Visio soit un projet gratuit et non commercial, l'application traite des données financières personnelles. Des conditions générales d'utilisation (CGU) et une politique de confidentialité doivent être rédigées et rendues accessibles depuis l'application, précisant notamment : la nature des données collectées, leur usage, leur durée de conservation, et les modalités d'exercice du droit à la suppression (voir 9.4).</w:t>
      </w:r>
    </w:p>
    <w:p>
      <w:pPr>
        <w:pStyle w:val="Heading1"/>
        <w:spacing w:after="200" w:before="480"/>
      </w:pPr>
      <w:r>
        <w:rPr>
          <w:b/>
          <w:bCs/>
          <w:color w:val="1F2937"/>
          <w:sz w:val="30"/>
          <w:szCs w:val="30"/>
        </w:rPr>
        <w:t xml:space="preserve">13. Modèle de données (vue conceptuelle)</w:t>
      </w:r>
    </w:p>
    <w:p>
      <w:pPr>
        <w:spacing w:after="160" w:line="300"/>
      </w:pPr>
      <w:r>
        <w:rPr>
          <w:sz w:val="21"/>
          <w:szCs w:val="21"/>
        </w:rPr>
        <w:t xml:space="preserve">Cette section donne une vue conceptuelle des principales entités attendues, à charge pour l'équipe technique (Claude Code) de la traduire en schéma de base de données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100"/>
      </w:tblGrid>
      <w:tr>
        <w:trPr>
          <w:tblHeader/>
        </w:trPr>
        <w:tc>
          <w:tcPr>
            <w:tcW w:type="dxa" w:w="1700"/>
            <w:shd w:fill="1F2937" w:val="clear"/>
            <w:tcMar>
              <w:top w:type="dxa" w:w="90"/>
              <w:left w:type="dxa" w:w="120"/>
              <w:bottom w:type="dxa" w:w="90"/>
              <w:right w:type="dxa" w:w="120"/>
            </w:tcMar>
            <w:vAlign w:val="center"/>
          </w:tcPr>
          <w:p>
            <w:pPr>
              <w:jc w:val="left"/>
            </w:pPr>
            <w:r>
              <w:rPr>
                <w:b/>
                <w:bCs/>
                <w:color w:val="FFFFFF"/>
                <w:sz w:val="19"/>
                <w:szCs w:val="19"/>
              </w:rPr>
              <w:t xml:space="preserve">Entité</w:t>
            </w:r>
          </w:p>
        </w:tc>
        <w:tc>
          <w:tcPr>
            <w:tcW w:type="dxa" w:w="4200"/>
            <w:shd w:fill="1F2937" w:val="clear"/>
            <w:tcMar>
              <w:top w:type="dxa" w:w="90"/>
              <w:left w:type="dxa" w:w="120"/>
              <w:bottom w:type="dxa" w:w="90"/>
              <w:right w:type="dxa" w:w="120"/>
            </w:tcMar>
            <w:vAlign w:val="center"/>
          </w:tcPr>
          <w:p>
            <w:pPr>
              <w:jc w:val="left"/>
            </w:pPr>
            <w:r>
              <w:rPr>
                <w:b/>
                <w:bCs/>
                <w:color w:val="FFFFFF"/>
                <w:sz w:val="19"/>
                <w:szCs w:val="19"/>
              </w:rPr>
              <w:t xml:space="preserve">Rôle</w:t>
            </w:r>
          </w:p>
        </w:tc>
        <w:tc>
          <w:tcPr>
            <w:tcW w:type="dxa" w:w="3100"/>
            <w:shd w:fill="1F2937" w:val="clear"/>
            <w:tcMar>
              <w:top w:type="dxa" w:w="90"/>
              <w:left w:type="dxa" w:w="120"/>
              <w:bottom w:type="dxa" w:w="90"/>
              <w:right w:type="dxa" w:w="120"/>
            </w:tcMar>
            <w:vAlign w:val="center"/>
          </w:tcPr>
          <w:p>
            <w:pPr>
              <w:jc w:val="left"/>
            </w:pPr>
            <w:r>
              <w:rPr>
                <w:b/>
                <w:bCs/>
                <w:color w:val="FFFFFF"/>
                <w:sz w:val="19"/>
                <w:szCs w:val="19"/>
              </w:rPr>
              <w:t xml:space="preserve">Relations principales</w:t>
            </w:r>
          </w:p>
        </w:tc>
      </w:tr>
      <w:tr>
        <w:tc>
          <w:tcPr>
            <w:tcW w:type="dxa" w:w="1700"/>
            <w:shd w:fill="FFFFFF" w:val="clear"/>
            <w:tcMar>
              <w:top w:type="dxa" w:w="90"/>
              <w:left w:type="dxa" w:w="120"/>
              <w:bottom w:type="dxa" w:w="90"/>
              <w:right w:type="dxa" w:w="120"/>
            </w:tcMar>
            <w:vAlign w:val="center"/>
          </w:tcPr>
          <w:p>
            <w:pPr>
              <w:jc w:val="left"/>
            </w:pPr>
            <w:r>
              <w:rPr>
                <w:b w:val="false"/>
                <w:bCs w:val="false"/>
                <w:sz w:val="19"/>
                <w:szCs w:val="19"/>
              </w:rPr>
              <w:t xml:space="preserve">Utilisateur</w:t>
            </w:r>
          </w:p>
        </w:tc>
        <w:tc>
          <w:tcPr>
            <w:tcW w:type="dxa" w:w="4200"/>
            <w:shd w:fill="FFFFFF" w:val="clear"/>
            <w:tcMar>
              <w:top w:type="dxa" w:w="90"/>
              <w:left w:type="dxa" w:w="120"/>
              <w:bottom w:type="dxa" w:w="90"/>
              <w:right w:type="dxa" w:w="120"/>
            </w:tcMar>
            <w:vAlign w:val="center"/>
          </w:tcPr>
          <w:p>
            <w:pPr>
              <w:jc w:val="left"/>
            </w:pPr>
            <w:r>
              <w:rPr>
                <w:b w:val="false"/>
                <w:bCs w:val="false"/>
                <w:sz w:val="19"/>
                <w:szCs w:val="19"/>
              </w:rPr>
              <w:t xml:space="preserve">Un compte Visio : identifiants, devise choisie, cycle budgétaire global par défaut, préférences de notification.</w:t>
            </w:r>
          </w:p>
        </w:tc>
        <w:tc>
          <w:tcPr>
            <w:tcW w:type="dxa" w:w="3100"/>
            <w:shd w:fill="FFFFFF" w:val="clear"/>
            <w:tcMar>
              <w:top w:type="dxa" w:w="90"/>
              <w:left w:type="dxa" w:w="120"/>
              <w:bottom w:type="dxa" w:w="90"/>
              <w:right w:type="dxa" w:w="120"/>
            </w:tcMar>
            <w:vAlign w:val="center"/>
          </w:tcPr>
          <w:p>
            <w:pPr>
              <w:jc w:val="left"/>
            </w:pPr>
            <w:r>
              <w:rPr>
                <w:b w:val="false"/>
                <w:bCs w:val="false"/>
                <w:sz w:val="19"/>
                <w:szCs w:val="19"/>
              </w:rPr>
              <w:t xml:space="preserve">Possède une arborescence d'enveloppes.</w:t>
            </w:r>
          </w:p>
        </w:tc>
      </w:tr>
      <w:tr>
        <w:tc>
          <w:tcPr>
            <w:tcW w:type="dxa" w:w="1700"/>
            <w:shd w:fill="EEF0FF" w:val="clear"/>
            <w:tcMar>
              <w:top w:type="dxa" w:w="90"/>
              <w:left w:type="dxa" w:w="120"/>
              <w:bottom w:type="dxa" w:w="90"/>
              <w:right w:type="dxa" w:w="120"/>
            </w:tcMar>
            <w:vAlign w:val="center"/>
          </w:tcPr>
          <w:p>
            <w:pPr>
              <w:jc w:val="left"/>
            </w:pPr>
            <w:r>
              <w:rPr>
                <w:b w:val="false"/>
                <w:bCs w:val="false"/>
                <w:sz w:val="19"/>
                <w:szCs w:val="19"/>
              </w:rPr>
              <w:t xml:space="preserve">Enveloppe</w:t>
            </w:r>
          </w:p>
        </w:tc>
        <w:tc>
          <w:tcPr>
            <w:tcW w:type="dxa" w:w="4200"/>
            <w:shd w:fill="EEF0FF" w:val="clear"/>
            <w:tcMar>
              <w:top w:type="dxa" w:w="90"/>
              <w:left w:type="dxa" w:w="120"/>
              <w:bottom w:type="dxa" w:w="90"/>
              <w:right w:type="dxa" w:w="120"/>
            </w:tcMar>
            <w:vAlign w:val="center"/>
          </w:tcPr>
          <w:p>
            <w:pPr>
              <w:jc w:val="left"/>
            </w:pPr>
            <w:r>
              <w:rPr>
                <w:b w:val="false"/>
                <w:bCs w:val="false"/>
                <w:sz w:val="19"/>
                <w:szCs w:val="19"/>
              </w:rPr>
              <w:t xml:space="preserve">Un nœud de l'arborescence budgétaire : nom, couleur, icône, montant alloué, récurrence, cycle (hérité ou propre), statut (active/archivée).</w:t>
            </w:r>
          </w:p>
        </w:tc>
        <w:tc>
          <w:tcPr>
            <w:tcW w:type="dxa" w:w="3100"/>
            <w:shd w:fill="EEF0FF" w:val="clear"/>
            <w:tcMar>
              <w:top w:type="dxa" w:w="90"/>
              <w:left w:type="dxa" w:w="120"/>
              <w:bottom w:type="dxa" w:w="90"/>
              <w:right w:type="dxa" w:w="120"/>
            </w:tcMar>
            <w:vAlign w:val="center"/>
          </w:tcPr>
          <w:p>
            <w:pPr>
              <w:jc w:val="left"/>
            </w:pPr>
            <w:r>
              <w:rPr>
                <w:b w:val="false"/>
                <w:bCs w:val="false"/>
                <w:sz w:val="19"/>
                <w:szCs w:val="19"/>
              </w:rPr>
              <w:t xml:space="preserve">Auto-référencée (enveloppe parente / enveloppes enfants) ; reçoit des transactions.</w:t>
            </w:r>
          </w:p>
        </w:tc>
      </w:tr>
      <w:tr>
        <w:tc>
          <w:tcPr>
            <w:tcW w:type="dxa" w:w="1700"/>
            <w:shd w:fill="FFFFFF" w:val="clear"/>
            <w:tcMar>
              <w:top w:type="dxa" w:w="90"/>
              <w:left w:type="dxa" w:w="120"/>
              <w:bottom w:type="dxa" w:w="90"/>
              <w:right w:type="dxa" w:w="120"/>
            </w:tcMar>
            <w:vAlign w:val="center"/>
          </w:tcPr>
          <w:p>
            <w:pPr>
              <w:jc w:val="left"/>
            </w:pPr>
            <w:r>
              <w:rPr>
                <w:b w:val="false"/>
                <w:bCs w:val="false"/>
                <w:sz w:val="19"/>
                <w:szCs w:val="19"/>
              </w:rPr>
              <w:t xml:space="preserve">Transaction</w:t>
            </w:r>
          </w:p>
        </w:tc>
        <w:tc>
          <w:tcPr>
            <w:tcW w:type="dxa" w:w="4200"/>
            <w:shd w:fill="FFFFFF" w:val="clear"/>
            <w:tcMar>
              <w:top w:type="dxa" w:w="90"/>
              <w:left w:type="dxa" w:w="120"/>
              <w:bottom w:type="dxa" w:w="90"/>
              <w:right w:type="dxa" w:w="120"/>
            </w:tcMar>
            <w:vAlign w:val="center"/>
          </w:tcPr>
          <w:p>
            <w:pPr>
              <w:jc w:val="left"/>
            </w:pPr>
            <w:r>
              <w:rPr>
                <w:b w:val="false"/>
                <w:bCs w:val="false"/>
                <w:sz w:val="19"/>
                <w:szCs w:val="19"/>
              </w:rPr>
              <w:t xml:space="preserve">Un mouvement d'argent : montant, type, date, description, pièce jointe éventuelle.</w:t>
            </w:r>
          </w:p>
        </w:tc>
        <w:tc>
          <w:tcPr>
            <w:tcW w:type="dxa" w:w="3100"/>
            <w:shd w:fill="FFFFFF" w:val="clear"/>
            <w:tcMar>
              <w:top w:type="dxa" w:w="90"/>
              <w:left w:type="dxa" w:w="120"/>
              <w:bottom w:type="dxa" w:w="90"/>
              <w:right w:type="dxa" w:w="120"/>
            </w:tcMar>
            <w:vAlign w:val="center"/>
          </w:tcPr>
          <w:p>
            <w:pPr>
              <w:jc w:val="left"/>
            </w:pPr>
            <w:r>
              <w:rPr>
                <w:b w:val="false"/>
                <w:bCs w:val="false"/>
                <w:sz w:val="19"/>
                <w:szCs w:val="19"/>
              </w:rPr>
              <w:t xml:space="preserve">Rattachée à une enveloppe ; peut provenir d'une règle de récurrence.</w:t>
            </w:r>
          </w:p>
        </w:tc>
      </w:tr>
      <w:tr>
        <w:tc>
          <w:tcPr>
            <w:tcW w:type="dxa" w:w="1700"/>
            <w:shd w:fill="EEF0FF" w:val="clear"/>
            <w:tcMar>
              <w:top w:type="dxa" w:w="90"/>
              <w:left w:type="dxa" w:w="120"/>
              <w:bottom w:type="dxa" w:w="90"/>
              <w:right w:type="dxa" w:w="120"/>
            </w:tcMar>
            <w:vAlign w:val="center"/>
          </w:tcPr>
          <w:p>
            <w:pPr>
              <w:jc w:val="left"/>
            </w:pPr>
            <w:r>
              <w:rPr>
                <w:b w:val="false"/>
                <w:bCs w:val="false"/>
                <w:sz w:val="19"/>
                <w:szCs w:val="19"/>
              </w:rPr>
              <w:t xml:space="preserve">Règle de récurrence</w:t>
            </w:r>
          </w:p>
        </w:tc>
        <w:tc>
          <w:tcPr>
            <w:tcW w:type="dxa" w:w="4200"/>
            <w:shd w:fill="EEF0FF" w:val="clear"/>
            <w:tcMar>
              <w:top w:type="dxa" w:w="90"/>
              <w:left w:type="dxa" w:w="120"/>
              <w:bottom w:type="dxa" w:w="90"/>
              <w:right w:type="dxa" w:w="120"/>
            </w:tcMar>
            <w:vAlign w:val="center"/>
          </w:tcPr>
          <w:p>
            <w:pPr>
              <w:jc w:val="left"/>
            </w:pPr>
            <w:r>
              <w:rPr>
                <w:b w:val="false"/>
                <w:bCs w:val="false"/>
                <w:sz w:val="19"/>
                <w:szCs w:val="19"/>
              </w:rPr>
              <w:t xml:space="preserve">Définit la fréquence et les paramètres d'une transaction qui se répète.</w:t>
            </w:r>
          </w:p>
        </w:tc>
        <w:tc>
          <w:tcPr>
            <w:tcW w:type="dxa" w:w="3100"/>
            <w:shd w:fill="EEF0FF" w:val="clear"/>
            <w:tcMar>
              <w:top w:type="dxa" w:w="90"/>
              <w:left w:type="dxa" w:w="120"/>
              <w:bottom w:type="dxa" w:w="90"/>
              <w:right w:type="dxa" w:w="120"/>
            </w:tcMar>
            <w:vAlign w:val="center"/>
          </w:tcPr>
          <w:p>
            <w:pPr>
              <w:jc w:val="left"/>
            </w:pPr>
            <w:r>
              <w:rPr>
                <w:b w:val="false"/>
                <w:bCs w:val="false"/>
                <w:sz w:val="19"/>
                <w:szCs w:val="19"/>
              </w:rPr>
              <w:t xml:space="preserve">Génère des transactions ; rattachée à une enveloppe.</w:t>
            </w:r>
          </w:p>
        </w:tc>
      </w:tr>
      <w:tr>
        <w:tc>
          <w:tcPr>
            <w:tcW w:type="dxa" w:w="1700"/>
            <w:shd w:fill="FFFFFF" w:val="clear"/>
            <w:tcMar>
              <w:top w:type="dxa" w:w="90"/>
              <w:left w:type="dxa" w:w="120"/>
              <w:bottom w:type="dxa" w:w="90"/>
              <w:right w:type="dxa" w:w="120"/>
            </w:tcMar>
            <w:vAlign w:val="center"/>
          </w:tcPr>
          <w:p>
            <w:pPr>
              <w:jc w:val="left"/>
            </w:pPr>
            <w:r>
              <w:rPr>
                <w:b w:val="false"/>
                <w:bCs w:val="false"/>
                <w:sz w:val="19"/>
                <w:szCs w:val="19"/>
              </w:rPr>
              <w:t xml:space="preserve">Transfert</w:t>
            </w:r>
          </w:p>
        </w:tc>
        <w:tc>
          <w:tcPr>
            <w:tcW w:type="dxa" w:w="4200"/>
            <w:shd w:fill="FFFFFF" w:val="clear"/>
            <w:tcMar>
              <w:top w:type="dxa" w:w="90"/>
              <w:left w:type="dxa" w:w="120"/>
              <w:bottom w:type="dxa" w:w="90"/>
              <w:right w:type="dxa" w:w="120"/>
            </w:tcMar>
            <w:vAlign w:val="center"/>
          </w:tcPr>
          <w:p>
            <w:pPr>
              <w:jc w:val="left"/>
            </w:pPr>
            <w:r>
              <w:rPr>
                <w:b w:val="false"/>
                <w:bCs w:val="false"/>
                <w:sz w:val="19"/>
                <w:szCs w:val="19"/>
              </w:rPr>
              <w:t xml:space="preserve">Mouvement de montant d'une enveloppe vers une autre.</w:t>
            </w:r>
          </w:p>
        </w:tc>
        <w:tc>
          <w:tcPr>
            <w:tcW w:type="dxa" w:w="3100"/>
            <w:shd w:fill="FFFFFF" w:val="clear"/>
            <w:tcMar>
              <w:top w:type="dxa" w:w="90"/>
              <w:left w:type="dxa" w:w="120"/>
              <w:bottom w:type="dxa" w:w="90"/>
              <w:right w:type="dxa" w:w="120"/>
            </w:tcMar>
            <w:vAlign w:val="center"/>
          </w:tcPr>
          <w:p>
            <w:pPr>
              <w:jc w:val="left"/>
            </w:pPr>
            <w:r>
              <w:rPr>
                <w:b w:val="false"/>
                <w:bCs w:val="false"/>
                <w:sz w:val="19"/>
                <w:szCs w:val="19"/>
              </w:rPr>
              <w:t xml:space="preserve">Référence une enveloppe source et une enveloppe destination.</w:t>
            </w:r>
          </w:p>
        </w:tc>
      </w:tr>
      <w:tr>
        <w:tc>
          <w:tcPr>
            <w:tcW w:type="dxa" w:w="1700"/>
            <w:shd w:fill="EEF0FF" w:val="clear"/>
            <w:tcMar>
              <w:top w:type="dxa" w:w="90"/>
              <w:left w:type="dxa" w:w="120"/>
              <w:bottom w:type="dxa" w:w="90"/>
              <w:right w:type="dxa" w:w="120"/>
            </w:tcMar>
            <w:vAlign w:val="center"/>
          </w:tcPr>
          <w:p>
            <w:pPr>
              <w:jc w:val="left"/>
            </w:pPr>
            <w:r>
              <w:rPr>
                <w:b w:val="false"/>
                <w:bCs w:val="false"/>
                <w:sz w:val="19"/>
                <w:szCs w:val="19"/>
              </w:rPr>
              <w:t xml:space="preserve">Entrée de journal</w:t>
            </w:r>
          </w:p>
        </w:tc>
        <w:tc>
          <w:tcPr>
            <w:tcW w:type="dxa" w:w="4200"/>
            <w:shd w:fill="EEF0FF" w:val="clear"/>
            <w:tcMar>
              <w:top w:type="dxa" w:w="90"/>
              <w:left w:type="dxa" w:w="120"/>
              <w:bottom w:type="dxa" w:w="90"/>
              <w:right w:type="dxa" w:w="120"/>
            </w:tcMar>
            <w:vAlign w:val="center"/>
          </w:tcPr>
          <w:p>
            <w:pPr>
              <w:jc w:val="left"/>
            </w:pPr>
            <w:r>
              <w:rPr>
                <w:b w:val="false"/>
                <w:bCs w:val="false"/>
                <w:sz w:val="19"/>
                <w:szCs w:val="19"/>
              </w:rPr>
              <w:t xml:space="preserve">Une action enregistrée (créée, modifiée, supprimée, transférée…), horodatée, avec les données nécessaires pour l'annuler.</w:t>
            </w:r>
          </w:p>
        </w:tc>
        <w:tc>
          <w:tcPr>
            <w:tcW w:type="dxa" w:w="3100"/>
            <w:shd w:fill="EEF0FF" w:val="clear"/>
            <w:tcMar>
              <w:top w:type="dxa" w:w="90"/>
              <w:left w:type="dxa" w:w="120"/>
              <w:bottom w:type="dxa" w:w="90"/>
              <w:right w:type="dxa" w:w="120"/>
            </w:tcMar>
            <w:vAlign w:val="center"/>
          </w:tcPr>
          <w:p>
            <w:pPr>
              <w:jc w:val="left"/>
            </w:pPr>
            <w:r>
              <w:rPr>
                <w:b w:val="false"/>
                <w:bCs w:val="false"/>
                <w:sz w:val="19"/>
                <w:szCs w:val="19"/>
              </w:rPr>
              <w:t xml:space="preserve">Référence l'objet concerné (enveloppe, transaction…).</w:t>
            </w:r>
          </w:p>
        </w:tc>
      </w:tr>
      <w:tr>
        <w:tc>
          <w:tcPr>
            <w:tcW w:type="dxa" w:w="1700"/>
            <w:shd w:fill="FFFFFF" w:val="clear"/>
            <w:tcMar>
              <w:top w:type="dxa" w:w="90"/>
              <w:left w:type="dxa" w:w="120"/>
              <w:bottom w:type="dxa" w:w="90"/>
              <w:right w:type="dxa" w:w="120"/>
            </w:tcMar>
            <w:vAlign w:val="center"/>
          </w:tcPr>
          <w:p>
            <w:pPr>
              <w:jc w:val="left"/>
            </w:pPr>
            <w:r>
              <w:rPr>
                <w:b w:val="false"/>
                <w:bCs w:val="false"/>
                <w:sz w:val="19"/>
                <w:szCs w:val="19"/>
              </w:rPr>
              <w:t xml:space="preserve">Pièce jointe</w:t>
            </w:r>
          </w:p>
        </w:tc>
        <w:tc>
          <w:tcPr>
            <w:tcW w:type="dxa" w:w="4200"/>
            <w:shd w:fill="FFFFFF" w:val="clear"/>
            <w:tcMar>
              <w:top w:type="dxa" w:w="90"/>
              <w:left w:type="dxa" w:w="120"/>
              <w:bottom w:type="dxa" w:w="90"/>
              <w:right w:type="dxa" w:w="120"/>
            </w:tcMar>
            <w:vAlign w:val="center"/>
          </w:tcPr>
          <w:p>
            <w:pPr>
              <w:jc w:val="left"/>
            </w:pPr>
            <w:r>
              <w:rPr>
                <w:b w:val="false"/>
                <w:bCs w:val="false"/>
                <w:sz w:val="19"/>
                <w:szCs w:val="19"/>
              </w:rPr>
              <w:t xml:space="preserve">Fichier (photo de reçu/facture) associé à une transaction.</w:t>
            </w:r>
          </w:p>
        </w:tc>
        <w:tc>
          <w:tcPr>
            <w:tcW w:type="dxa" w:w="3100"/>
            <w:shd w:fill="FFFFFF" w:val="clear"/>
            <w:tcMar>
              <w:top w:type="dxa" w:w="90"/>
              <w:left w:type="dxa" w:w="120"/>
              <w:bottom w:type="dxa" w:w="90"/>
              <w:right w:type="dxa" w:w="120"/>
            </w:tcMar>
            <w:vAlign w:val="center"/>
          </w:tcPr>
          <w:p>
            <w:pPr>
              <w:jc w:val="left"/>
            </w:pPr>
            <w:r>
              <w:rPr>
                <w:b w:val="false"/>
                <w:bCs w:val="false"/>
                <w:sz w:val="19"/>
                <w:szCs w:val="19"/>
              </w:rPr>
              <w:t xml:space="preserve">Rattachée à une transaction.</w:t>
            </w:r>
          </w:p>
        </w:tc>
      </w:tr>
    </w:tbl>
    <w:p>
      <w:pPr>
        <w:pStyle w:val="Heading1"/>
        <w:spacing w:after="200" w:before="480"/>
      </w:pPr>
      <w:r>
        <w:rPr>
          <w:b/>
          <w:bCs/>
          <w:color w:val="1F2937"/>
          <w:sz w:val="30"/>
          <w:szCs w:val="30"/>
        </w:rPr>
        <w:t xml:space="preserve">14. Glossaire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2937" w:val="clear"/>
            <w:tcMar>
              <w:top w:type="dxa" w:w="90"/>
              <w:left w:type="dxa" w:w="120"/>
              <w:bottom w:type="dxa" w:w="90"/>
              <w:right w:type="dxa" w:w="120"/>
            </w:tcMar>
            <w:vAlign w:val="center"/>
          </w:tcPr>
          <w:p>
            <w:pPr>
              <w:jc w:val="left"/>
            </w:pPr>
            <w:r>
              <w:rPr>
                <w:b/>
                <w:bCs/>
                <w:color w:val="FFFFFF"/>
                <w:sz w:val="19"/>
                <w:szCs w:val="19"/>
              </w:rPr>
              <w:t xml:space="preserve">Terme</w:t>
            </w:r>
          </w:p>
        </w:tc>
        <w:tc>
          <w:tcPr>
            <w:tcW w:type="dxa" w:w="6400"/>
            <w:shd w:fill="1F2937" w:val="clear"/>
            <w:tcMar>
              <w:top w:type="dxa" w:w="90"/>
              <w:left w:type="dxa" w:w="120"/>
              <w:bottom w:type="dxa" w:w="90"/>
              <w:right w:type="dxa" w:w="120"/>
            </w:tcMar>
            <w:vAlign w:val="center"/>
          </w:tcPr>
          <w:p>
            <w:pPr>
              <w:jc w:val="left"/>
            </w:pPr>
            <w:r>
              <w:rPr>
                <w:b/>
                <w:bCs/>
                <w:color w:val="FFFFFF"/>
                <w:sz w:val="19"/>
                <w:szCs w:val="19"/>
              </w:rPr>
              <w:t xml:space="preserve">Définition</w:t>
            </w:r>
          </w:p>
        </w:tc>
      </w:tr>
      <w:tr>
        <w:tc>
          <w:tcPr>
            <w:tcW w:type="dxa" w:w="2600"/>
            <w:shd w:fill="FFFFFF" w:val="clear"/>
            <w:tcMar>
              <w:top w:type="dxa" w:w="90"/>
              <w:left w:type="dxa" w:w="120"/>
              <w:bottom w:type="dxa" w:w="90"/>
              <w:right w:type="dxa" w:w="120"/>
            </w:tcMar>
            <w:vAlign w:val="center"/>
          </w:tcPr>
          <w:p>
            <w:pPr>
              <w:jc w:val="left"/>
            </w:pPr>
            <w:r>
              <w:rPr>
                <w:b w:val="false"/>
                <w:bCs w:val="false"/>
                <w:sz w:val="19"/>
                <w:szCs w:val="19"/>
              </w:rPr>
              <w:t xml:space="preserve">Budget général</w:t>
            </w:r>
          </w:p>
        </w:tc>
        <w:tc>
          <w:tcPr>
            <w:tcW w:type="dxa" w:w="6400"/>
            <w:shd w:fill="FFFFFF" w:val="clear"/>
            <w:tcMar>
              <w:top w:type="dxa" w:w="90"/>
              <w:left w:type="dxa" w:w="120"/>
              <w:bottom w:type="dxa" w:w="90"/>
              <w:right w:type="dxa" w:w="120"/>
            </w:tcMar>
            <w:vAlign w:val="center"/>
          </w:tcPr>
          <w:p>
            <w:pPr>
              <w:jc w:val="left"/>
            </w:pPr>
            <w:r>
              <w:rPr>
                <w:b w:val="false"/>
                <w:bCs w:val="false"/>
                <w:sz w:val="19"/>
                <w:szCs w:val="19"/>
              </w:rPr>
              <w:t xml:space="preserve">L'enveloppe racine de l'arborescence, celle qui englobe tout le budget d'un utilisateur.</w:t>
            </w:r>
          </w:p>
        </w:tc>
      </w:tr>
      <w:tr>
        <w:tc>
          <w:tcPr>
            <w:tcW w:type="dxa" w:w="2600"/>
            <w:shd w:fill="EEF0FF" w:val="clear"/>
            <w:tcMar>
              <w:top w:type="dxa" w:w="90"/>
              <w:left w:type="dxa" w:w="120"/>
              <w:bottom w:type="dxa" w:w="90"/>
              <w:right w:type="dxa" w:w="120"/>
            </w:tcMar>
            <w:vAlign w:val="center"/>
          </w:tcPr>
          <w:p>
            <w:pPr>
              <w:jc w:val="left"/>
            </w:pPr>
            <w:r>
              <w:rPr>
                <w:b w:val="false"/>
                <w:bCs w:val="false"/>
                <w:sz w:val="19"/>
                <w:szCs w:val="19"/>
              </w:rPr>
              <w:t xml:space="preserve">Enveloppe</w:t>
            </w:r>
          </w:p>
        </w:tc>
        <w:tc>
          <w:tcPr>
            <w:tcW w:type="dxa" w:w="6400"/>
            <w:shd w:fill="EEF0FF" w:val="clear"/>
            <w:tcMar>
              <w:top w:type="dxa" w:w="90"/>
              <w:left w:type="dxa" w:w="120"/>
              <w:bottom w:type="dxa" w:w="90"/>
              <w:right w:type="dxa" w:w="120"/>
            </w:tcMar>
            <w:vAlign w:val="center"/>
          </w:tcPr>
          <w:p>
            <w:pPr>
              <w:jc w:val="left"/>
            </w:pPr>
            <w:r>
              <w:rPr>
                <w:b w:val="false"/>
                <w:bCs w:val="false"/>
                <w:sz w:val="19"/>
                <w:szCs w:val="19"/>
              </w:rPr>
              <w:t xml:space="preserve">Un nœud de l'arborescence budgétaire, avec un montant alloué qui se consomme via des transactions.</w:t>
            </w:r>
          </w:p>
        </w:tc>
      </w:tr>
      <w:tr>
        <w:tc>
          <w:tcPr>
            <w:tcW w:type="dxa" w:w="2600"/>
            <w:shd w:fill="FFFFFF" w:val="clear"/>
            <w:tcMar>
              <w:top w:type="dxa" w:w="90"/>
              <w:left w:type="dxa" w:w="120"/>
              <w:bottom w:type="dxa" w:w="90"/>
              <w:right w:type="dxa" w:w="120"/>
            </w:tcMar>
            <w:vAlign w:val="center"/>
          </w:tcPr>
          <w:p>
            <w:pPr>
              <w:jc w:val="left"/>
            </w:pPr>
            <w:r>
              <w:rPr>
                <w:b w:val="false"/>
                <w:bCs w:val="false"/>
                <w:sz w:val="19"/>
                <w:szCs w:val="19"/>
              </w:rPr>
              <w:t xml:space="preserve">Cycle budgétaire</w:t>
            </w:r>
          </w:p>
        </w:tc>
        <w:tc>
          <w:tcPr>
            <w:tcW w:type="dxa" w:w="6400"/>
            <w:shd w:fill="FFFFFF" w:val="clear"/>
            <w:tcMar>
              <w:top w:type="dxa" w:w="90"/>
              <w:left w:type="dxa" w:w="120"/>
              <w:bottom w:type="dxa" w:w="90"/>
              <w:right w:type="dxa" w:w="120"/>
            </w:tcMar>
            <w:vAlign w:val="center"/>
          </w:tcPr>
          <w:p>
            <w:pPr>
              <w:jc w:val="left"/>
            </w:pPr>
            <w:r>
              <w:rPr>
                <w:b w:val="false"/>
                <w:bCs w:val="false"/>
                <w:sz w:val="19"/>
                <w:szCs w:val="19"/>
              </w:rPr>
              <w:t xml:space="preserve">La période sur laquelle une enveloppe récurrente se réinitialise (par défaut, un cycle global choisi par l'utilisateur).</w:t>
            </w:r>
          </w:p>
        </w:tc>
      </w:tr>
      <w:tr>
        <w:tc>
          <w:tcPr>
            <w:tcW w:type="dxa" w:w="2600"/>
            <w:shd w:fill="EEF0FF" w:val="clear"/>
            <w:tcMar>
              <w:top w:type="dxa" w:w="90"/>
              <w:left w:type="dxa" w:w="120"/>
              <w:bottom w:type="dxa" w:w="90"/>
              <w:right w:type="dxa" w:w="120"/>
            </w:tcMar>
            <w:vAlign w:val="center"/>
          </w:tcPr>
          <w:p>
            <w:pPr>
              <w:jc w:val="left"/>
            </w:pPr>
            <w:r>
              <w:rPr>
                <w:b w:val="false"/>
                <w:bCs w:val="false"/>
                <w:sz w:val="19"/>
                <w:szCs w:val="19"/>
              </w:rPr>
              <w:t xml:space="preserve">PWA</w:t>
            </w:r>
          </w:p>
        </w:tc>
        <w:tc>
          <w:tcPr>
            <w:tcW w:type="dxa" w:w="6400"/>
            <w:shd w:fill="EEF0FF" w:val="clear"/>
            <w:tcMar>
              <w:top w:type="dxa" w:w="90"/>
              <w:left w:type="dxa" w:w="120"/>
              <w:bottom w:type="dxa" w:w="90"/>
              <w:right w:type="dxa" w:w="120"/>
            </w:tcMar>
            <w:vAlign w:val="center"/>
          </w:tcPr>
          <w:p>
            <w:pPr>
              <w:jc w:val="left"/>
            </w:pPr>
            <w:r>
              <w:rPr>
                <w:b w:val="false"/>
                <w:bCs w:val="false"/>
                <w:sz w:val="19"/>
                <w:szCs w:val="19"/>
              </w:rPr>
              <w:t xml:space="preserve">Progressive Web App — application web installable comme une app native, sans passer par un store.</w:t>
            </w:r>
          </w:p>
        </w:tc>
      </w:tr>
      <w:tr>
        <w:tc>
          <w:tcPr>
            <w:tcW w:type="dxa" w:w="2600"/>
            <w:shd w:fill="FFFFFF" w:val="clear"/>
            <w:tcMar>
              <w:top w:type="dxa" w:w="90"/>
              <w:left w:type="dxa" w:w="120"/>
              <w:bottom w:type="dxa" w:w="90"/>
              <w:right w:type="dxa" w:w="120"/>
            </w:tcMar>
            <w:vAlign w:val="center"/>
          </w:tcPr>
          <w:p>
            <w:pPr>
              <w:jc w:val="left"/>
            </w:pPr>
            <w:r>
              <w:rPr>
                <w:b w:val="false"/>
                <w:bCs w:val="false"/>
                <w:sz w:val="19"/>
                <w:szCs w:val="19"/>
              </w:rPr>
              <w:t xml:space="preserve">Enveloppe archivée</w:t>
            </w:r>
          </w:p>
        </w:tc>
        <w:tc>
          <w:tcPr>
            <w:tcW w:type="dxa" w:w="6400"/>
            <w:shd w:fill="FFFFFF" w:val="clear"/>
            <w:tcMar>
              <w:top w:type="dxa" w:w="90"/>
              <w:left w:type="dxa" w:w="120"/>
              <w:bottom w:type="dxa" w:w="90"/>
              <w:right w:type="dxa" w:w="120"/>
            </w:tcMar>
            <w:vAlign w:val="center"/>
          </w:tcPr>
          <w:p>
            <w:pPr>
              <w:jc w:val="left"/>
            </w:pPr>
            <w:r>
              <w:rPr>
                <w:b w:val="false"/>
                <w:bCs w:val="false"/>
                <w:sz w:val="19"/>
                <w:szCs w:val="19"/>
              </w:rPr>
              <w:t xml:space="preserve">Une enveloppe supprimée par l'utilisateur mais conservée avec son historique car elle contenait des transactions.</w:t>
            </w:r>
          </w:p>
        </w:tc>
      </w:tr>
    </w:tbl>
    <w:p>
      <w:pPr>
        <w:pStyle w:val="Heading1"/>
        <w:spacing w:after="200" w:before="480"/>
      </w:pPr>
      <w:r>
        <w:rPr>
          <w:b/>
          <w:bCs/>
          <w:color w:val="1F2937"/>
          <w:sz w:val="30"/>
          <w:szCs w:val="30"/>
        </w:rPr>
        <w:t xml:space="preserve">15. Prochaines étapes</w:t>
      </w:r>
    </w:p>
    <w:p>
      <w:pPr>
        <w:spacing w:after="160" w:line="300"/>
      </w:pPr>
      <w:r>
        <w:rPr>
          <w:sz w:val="21"/>
          <w:szCs w:val="21"/>
        </w:rPr>
        <w:t xml:space="preserve">Ce document est destiné à être transmis à Claude Code pour la réalisation technique. Il est volontairement centré sur le « quoi » et le « pourquoi » ; les détails d'implémentation (schéma de base de données précis, découpage en écrans, bibliothèques utilisées) restent à la discrétion de l'équipe technique, dans le respect des règles fonctionnelles décrites ici.</w:t>
      </w:r>
    </w:p>
    <w:p>
      <w:pPr>
        <w:pStyle w:val="ListParagraph"/>
        <w:numPr>
          <w:ilvl w:val="0"/>
          <w:numId w:val="2"/>
        </w:numPr>
        <w:spacing w:after="90" w:line="290"/>
      </w:pPr>
      <w:r>
        <w:rPr>
          <w:sz w:val="21"/>
          <w:szCs w:val="21"/>
        </w:rPr>
        <w:t xml:space="preserve">Valider ce cahier des charges dans son ensemble avant le lancement du développement.</w:t>
      </w:r>
    </w:p>
    <w:p>
      <w:pPr>
        <w:pStyle w:val="ListParagraph"/>
        <w:numPr>
          <w:ilvl w:val="0"/>
          <w:numId w:val="2"/>
        </w:numPr>
        <w:spacing w:after="90" w:line="290"/>
      </w:pPr>
      <w:r>
        <w:rPr>
          <w:sz w:val="21"/>
          <w:szCs w:val="21"/>
        </w:rPr>
        <w:t xml:space="preserve">Confirmer ou ajuster le choix technique (Next.js + Supabase) une fois la contrainte hors-ligne étudiée en détail.</w:t>
      </w:r>
    </w:p>
    <w:p>
      <w:pPr>
        <w:pStyle w:val="ListParagraph"/>
        <w:numPr>
          <w:ilvl w:val="0"/>
          <w:numId w:val="2"/>
        </w:numPr>
        <w:spacing w:after="90" w:line="290"/>
      </w:pPr>
      <w:r>
        <w:rPr>
          <w:sz w:val="21"/>
          <w:szCs w:val="21"/>
        </w:rPr>
        <w:t xml:space="preserve">Rédiger les CGU et la politique de confidentialité avant la mise en public de l'application.</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color w:val="6B7280"/>
        <w:sz w:val="16"/>
        <w:szCs w:val="16"/>
      </w:rPr>
      <w:t xml:space="preserve">VISIO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 — Cahier des charges</dc:title>
  <dc:creator>Yves Charlemagne Zombré</dc:creator>
  <dc:description>Cahier des charges de l'application de gestion budgétaire Visio</dc:description>
  <cp:lastModifiedBy>Un-named</cp:lastModifiedBy>
  <cp:revision>1</cp:revision>
  <dcterms:created xsi:type="dcterms:W3CDTF">2026-09-09T21:45:45.018Z</dcterms:created>
  <dcterms:modified xsi:type="dcterms:W3CDTF">2026-09-09T21:45:45.032Z</dcterms:modified>
</cp:coreProperties>
</file>

<file path=docProps/custom.xml><?xml version="1.0" encoding="utf-8"?>
<Properties xmlns="http://schemas.openxmlformats.org/officeDocument/2006/custom-properties" xmlns:vt="http://schemas.openxmlformats.org/officeDocument/2006/docPropsVTypes"/>
</file>