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Phoenix Identity Compass™ Policy Source Register V1.0</w:t>
      </w:r>
    </w:p>
    <w:p>
      <w:r>
        <w:t>Official policy source ledger | Initial verification 2026-08-18</w:t>
      </w:r>
    </w:p>
    <w:p>
      <w:r>
        <w:t>CURRENT EXECUTION BASELINE | 2026-08-18</w:t>
      </w:r>
    </w:p>
    <w:p>
      <w:r>
        <w:t>Source type values are fixed: OFFICIAL / SCHOOL_SPECIFIC / PHOENIX_INTERNAL. This register starts with OFFICIAL sources. School-specific and internal admission strategy records must be separate rows/datasets.</w:t>
      </w:r>
    </w:p>
    <w:p>
      <w:pPr>
        <w:pStyle w:val="Heading1"/>
      </w:pPr>
      <w:r>
        <w:t>Official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Policy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Official source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New CIES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InvestHK New CIES + Hong Kong Immigration Department</w:t>
            </w:r>
          </w:p>
        </w:tc>
        <w:tc>
          <w:tcPr>
            <w:tcW w:type="dxa" w:w="1234"/>
          </w:tcPr>
          <w:p>
            <w:r>
              <w:t>https://www.newcies.gov.hk/en/ ; https://www.immd.gov.hk/eng/services/visas/newcies.html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TTPS-A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TTPS</w:t>
            </w:r>
          </w:p>
        </w:tc>
        <w:tc>
          <w:tcPr>
            <w:tcW w:type="dxa" w:w="1234"/>
          </w:tcPr>
          <w:p>
            <w:r>
              <w:t>https://www.immd.gov.hk/eng/faq/TTPS.html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TTPS-B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TTPS</w:t>
            </w:r>
          </w:p>
        </w:tc>
        <w:tc>
          <w:tcPr>
            <w:tcW w:type="dxa" w:w="1234"/>
          </w:tcPr>
          <w:p>
            <w:r>
              <w:t>https://www.immd.gov.hk/eng/faq/TTPS.html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TTPS-C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TTPS</w:t>
            </w:r>
          </w:p>
        </w:tc>
        <w:tc>
          <w:tcPr>
            <w:tcW w:type="dxa" w:w="1234"/>
          </w:tcPr>
          <w:p>
            <w:r>
              <w:t>https://www.immd.gov.hk/eng/faq/TTPS.html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QMAS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QMAS</w:t>
            </w:r>
          </w:p>
        </w:tc>
        <w:tc>
          <w:tcPr>
            <w:tcW w:type="dxa" w:w="1234"/>
          </w:tcPr>
          <w:p>
            <w:r>
              <w:t>https://www.immd.gov.hk/eng/services/visas/quality_migrant_admission_scheme.html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Study / Student Visa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Students</w:t>
            </w:r>
          </w:p>
        </w:tc>
        <w:tc>
          <w:tcPr>
            <w:tcW w:type="dxa" w:w="1234"/>
          </w:tcPr>
          <w:p>
            <w:r>
              <w:t>https://www.immd.gov.hk/eng/services/visas/study.html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IANG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IANG</w:t>
            </w:r>
          </w:p>
        </w:tc>
        <w:tc>
          <w:tcPr>
            <w:tcW w:type="dxa" w:w="1234"/>
          </w:tcPr>
          <w:p>
            <w:r>
              <w:t>https://www.immd.gov.hk/eng/services/visas/IANG.html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Employment — ASMTP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ASMTP</w:t>
            </w:r>
          </w:p>
        </w:tc>
        <w:tc>
          <w:tcPr>
            <w:tcW w:type="dxa" w:w="1234"/>
          </w:tcPr>
          <w:p>
            <w:r>
              <w:t>https://www.immd.gov.hk/eng/services/visas/ASMTP.html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Employment — GEP/Professional reference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Talent/Professional schemes</w:t>
            </w:r>
          </w:p>
        </w:tc>
        <w:tc>
          <w:tcPr>
            <w:tcW w:type="dxa" w:w="1234"/>
          </w:tcPr>
          <w:p>
            <w:r>
              <w:t>https://www.immd.gov.hk/eng/useful_information/admission-schemes-talents-professionals-entrepreneurs.html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  <w:tr>
        <w:tc>
          <w:tcPr>
            <w:tcW w:type="dxa" w:w="1234"/>
          </w:tcPr>
          <w:p>
            <w:r>
              <w:t>Dependant / Family-linked</w:t>
            </w:r>
          </w:p>
        </w:tc>
        <w:tc>
          <w:tcPr>
            <w:tcW w:type="dxa" w:w="1234"/>
          </w:tcPr>
          <w:p>
            <w:r>
              <w:t>OFFICIAL</w:t>
            </w:r>
          </w:p>
        </w:tc>
        <w:tc>
          <w:tcPr>
            <w:tcW w:type="dxa" w:w="1234"/>
          </w:tcPr>
          <w:p>
            <w:r>
              <w:t>Hong Kong Immigration Department — scheme dependant rules / visa services</w:t>
            </w:r>
          </w:p>
        </w:tc>
        <w:tc>
          <w:tcPr>
            <w:tcW w:type="dxa" w:w="1234"/>
          </w:tcPr>
          <w:p>
            <w:r>
              <w:t>https://www.immd.gov.hk/eng/services/</w:t>
            </w:r>
          </w:p>
        </w:tc>
        <w:tc>
          <w:tcPr>
            <w:tcW w:type="dxa" w:w="1234"/>
          </w:tcPr>
          <w:p>
            <w:r>
              <w:t>2026-08-18</w:t>
            </w:r>
          </w:p>
        </w:tc>
        <w:tc>
          <w:tcPr>
            <w:tcW w:type="dxa" w:w="1234"/>
          </w:tcPr>
          <w:p>
            <w:r>
              <w:t>Identity Product Owner</w:t>
            </w:r>
          </w:p>
        </w:tc>
        <w:tc>
          <w:tcPr>
            <w:tcW w:type="dxa" w:w="1234"/>
          </w:tcPr>
          <w:p>
            <w:r>
              <w:t>CURRENT</w:t>
            </w:r>
          </w:p>
        </w:tc>
      </w:tr>
    </w:tbl>
    <w:p>
      <w:pPr>
        <w:pStyle w:val="Heading1"/>
      </w:pPr>
      <w:r>
        <w:t>Source Governance</w:t>
      </w:r>
    </w:p>
    <w:p>
      <w:pPr>
        <w:pStyle w:val="ListBullet"/>
      </w:pPr>
      <w:r>
        <w:t>OFFICIAL：香港政府/入境处/InvestHK 等正式政策来源；可用于资格/政策陈述。</w:t>
      </w:r>
    </w:p>
    <w:p>
      <w:pPr>
        <w:pStyle w:val="ListBullet"/>
      </w:pPr>
      <w:r>
        <w:t>SCHOOL_SPECIFIC：院校官网、正式招生/课程/录取要求；只用于 Admission，不得覆盖身份政策。</w:t>
      </w:r>
    </w:p>
    <w:p>
      <w:pPr>
        <w:pStyle w:val="ListBullet"/>
      </w:pPr>
      <w:r>
        <w:t>PHOENIX_INTERNAL：凤启案例、录取经验、策略矩阵；只用于策略参考。</w:t>
      </w:r>
    </w:p>
    <w:p>
      <w:pPr>
        <w:pStyle w:val="ListBullet"/>
      </w:pPr>
      <w:r>
        <w:t>Admission ≠ Student Visa ≠ IANG。</w:t>
      </w:r>
    </w:p>
    <w:p>
      <w:pPr>
        <w:pStyle w:val="ListBullet"/>
      </w:pPr>
      <w:r>
        <w:t>政策变化时旧记录标 SUPERSEDED/EXPIRED，不删除历史。</w:t>
      </w:r>
    </w:p>
    <w:p>
      <w:pPr>
        <w:pStyle w:val="ListBullet"/>
      </w:pPr>
      <w:r>
        <w:t>每条规则必须能回指 policy_id/source URL/verified_at。</w:t>
      </w:r>
    </w:p>
    <w:p>
      <w:pPr>
        <w:pStyle w:val="Heading1"/>
      </w:pPr>
      <w:r>
        <w:t>Pending Source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SCHOOL_SPECIFIC</w:t>
            </w:r>
          </w:p>
        </w:tc>
        <w:tc>
          <w:tcPr>
            <w:tcW w:type="dxa" w:w="4320"/>
          </w:tcPr>
          <w:p>
            <w:r>
              <w:t>Study Admission Strategy Matrix 对应首批院校官方招生来源待锁定。</w:t>
            </w:r>
          </w:p>
        </w:tc>
      </w:tr>
      <w:tr>
        <w:tc>
          <w:tcPr>
            <w:tcW w:type="dxa" w:w="4320"/>
          </w:tcPr>
          <w:p>
            <w:r>
              <w:t>PHOENIX_INTERNAL</w:t>
            </w:r>
          </w:p>
        </w:tc>
        <w:tc>
          <w:tcPr>
            <w:tcW w:type="dxa" w:w="4320"/>
          </w:tcPr>
          <w:p>
            <w:r>
              <w:t>五类 Admission Strategy Matrix 的案例/经验来源、reviewer、适用范围待登记。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