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Phoenix Identity Compass™ Build Brief V1.0</w:t>
      </w:r>
    </w:p>
    <w:p>
      <w:r>
        <w:t>For Jimson. Source of Truth = Master Specification V1.0.</w:t>
      </w:r>
    </w:p>
    <w:p>
      <w:r>
        <w:t>CURRENT EXECUTION BASELINE | 2026-08-18</w:t>
      </w:r>
    </w:p>
    <w:p>
      <w:pPr>
        <w:pStyle w:val="Heading1"/>
      </w:pPr>
      <w:r>
        <w:t>Build Scope</w:t>
      </w:r>
    </w:p>
    <w:p>
      <w:pPr>
        <w:pStyle w:val="ListBullet"/>
      </w:pPr>
      <w:r>
        <w:t>Landing → Free 6 → Snapshot → Dynamic Questions → Full Free Report → Advisor Booking</w:t>
      </w:r>
    </w:p>
    <w:p>
      <w:pPr>
        <w:pStyle w:val="ListBullet"/>
      </w:pPr>
      <w:r>
        <w:t>Free 6，无支付</w:t>
      </w:r>
    </w:p>
    <w:p>
      <w:pPr>
        <w:pStyle w:val="ListBullet"/>
      </w:pPr>
      <w:r>
        <w:t>动态题库与分支逻辑</w:t>
      </w:r>
    </w:p>
    <w:p>
      <w:pPr>
        <w:pStyle w:val="ListBullet"/>
      </w:pPr>
      <w:r>
        <w:t>飞书字段/落库</w:t>
      </w:r>
    </w:p>
    <w:p>
      <w:pPr>
        <w:pStyle w:val="ListBullet"/>
      </w:pPr>
      <w:r>
        <w:t>Policy Library</w:t>
      </w:r>
    </w:p>
    <w:p>
      <w:pPr>
        <w:pStyle w:val="ListBullet"/>
      </w:pPr>
      <w:r>
        <w:t>Path Engine</w:t>
      </w:r>
    </w:p>
    <w:p>
      <w:pPr>
        <w:pStyle w:val="ListBullet"/>
      </w:pPr>
      <w:r>
        <w:t>Report Engine</w:t>
      </w:r>
    </w:p>
    <w:p>
      <w:pPr>
        <w:pStyle w:val="ListBullet"/>
      </w:pPr>
      <w:r>
        <w:t>Advisor Brief</w:t>
      </w:r>
    </w:p>
    <w:p>
      <w:pPr>
        <w:pStyle w:val="ListBullet"/>
      </w:pPr>
      <w:r>
        <w:t>CRM联动</w:t>
      </w:r>
    </w:p>
    <w:p>
      <w:pPr>
        <w:pStyle w:val="ListBullet"/>
      </w:pPr>
      <w:r>
        <w:t>Education Compass联动</w:t>
      </w:r>
    </w:p>
    <w:p>
      <w:pPr>
        <w:pStyle w:val="Heading1"/>
      </w:pPr>
      <w:r>
        <w:t>Engine 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Engine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Path Engine</w:t>
            </w:r>
          </w:p>
        </w:tc>
        <w:tc>
          <w:tcPr>
            <w:tcW w:type="dxa" w:w="2880"/>
          </w:tcPr>
          <w:p>
            <w:r>
              <w:t>normalized answers + policy version</w:t>
            </w:r>
          </w:p>
        </w:tc>
        <w:tc>
          <w:tcPr>
            <w:tcW w:type="dxa" w:w="2880"/>
          </w:tcPr>
          <w:p>
            <w:r>
              <w:t>path_code, fit_status, reasons, gaps, manual_checks</w:t>
            </w:r>
          </w:p>
        </w:tc>
      </w:tr>
      <w:tr>
        <w:tc>
          <w:tcPr>
            <w:tcW w:type="dxa" w:w="2880"/>
          </w:tcPr>
          <w:p>
            <w:r>
              <w:t>Report Engine</w:t>
            </w:r>
          </w:p>
        </w:tc>
        <w:tc>
          <w:tcPr>
            <w:tcW w:type="dxa" w:w="2880"/>
          </w:tcPr>
          <w:p>
            <w:r>
              <w:t>facts + assessments + policy refs</w:t>
            </w:r>
          </w:p>
        </w:tc>
        <w:tc>
          <w:tcPr>
            <w:tcW w:type="dxa" w:w="2880"/>
          </w:tcPr>
          <w:p>
            <w:r>
              <w:t>snapshot/full report + version refs</w:t>
            </w:r>
          </w:p>
        </w:tc>
      </w:tr>
      <w:tr>
        <w:tc>
          <w:tcPr>
            <w:tcW w:type="dxa" w:w="2880"/>
          </w:tcPr>
          <w:p>
            <w:r>
              <w:t>Advisor Brief</w:t>
            </w:r>
          </w:p>
        </w:tc>
        <w:tc>
          <w:tcPr>
            <w:tcW w:type="dxa" w:w="2880"/>
          </w:tcPr>
          <w:p>
            <w:r>
              <w:t>facts + report + gaps</w:t>
            </w:r>
          </w:p>
        </w:tc>
        <w:tc>
          <w:tcPr>
            <w:tcW w:type="dxa" w:w="2880"/>
          </w:tcPr>
          <w:p>
            <w:r>
              <w:t>internal summary + verify points + next action</w:t>
            </w:r>
          </w:p>
        </w:tc>
      </w:tr>
      <w:tr>
        <w:tc>
          <w:tcPr>
            <w:tcW w:type="dxa" w:w="2880"/>
          </w:tcPr>
          <w:p>
            <w:r>
              <w:t>CRM Sync</w:t>
            </w:r>
          </w:p>
        </w:tc>
        <w:tc>
          <w:tcPr>
            <w:tcW w:type="dxa" w:w="2880"/>
          </w:tcPr>
          <w:p>
            <w:r>
              <w:t>case + consent + advisor state</w:t>
            </w:r>
          </w:p>
        </w:tc>
        <w:tc>
          <w:tcPr>
            <w:tcW w:type="dxa" w:w="2880"/>
          </w:tcPr>
          <w:p>
            <w:r>
              <w:t>crm_ref + sync_status</w:t>
            </w:r>
          </w:p>
        </w:tc>
      </w:tr>
    </w:tbl>
    <w:p>
      <w:pPr>
        <w:pStyle w:val="Heading1"/>
      </w:pPr>
      <w:r>
        <w:t>Data Guardrails</w:t>
      </w:r>
    </w:p>
    <w:p>
      <w:pPr>
        <w:pStyle w:val="ListBullet"/>
      </w:pPr>
      <w:r>
        <w:t>Policy rule 必须有 source_type。</w:t>
      </w:r>
    </w:p>
    <w:p>
      <w:pPr>
        <w:pStyle w:val="ListBullet"/>
      </w:pPr>
      <w:r>
        <w:t>OFFICIAL 必须 official_url + verified_at + owner + effective_status。</w:t>
      </w:r>
    </w:p>
    <w:p>
      <w:pPr>
        <w:pStyle w:val="ListBullet"/>
      </w:pPr>
      <w:r>
        <w:t>SCHOOL_SPECIFIC 不得覆盖 OFFICIAL 身份规则。</w:t>
      </w:r>
    </w:p>
    <w:p>
      <w:pPr>
        <w:pStyle w:val="ListBullet"/>
      </w:pPr>
      <w:r>
        <w:t>PHOENIX_INTERNAL 只影响策略解释，不制造官方资格。</w:t>
      </w:r>
    </w:p>
    <w:p>
      <w:pPr>
        <w:pStyle w:val="ListBullet"/>
      </w:pPr>
      <w:r>
        <w:t>用户事实/系统推断/顾问确认分别标 source。</w:t>
      </w:r>
    </w:p>
    <w:p>
      <w:pPr>
        <w:pStyle w:val="Heading1"/>
      </w:pPr>
      <w:r>
        <w:t>Acceptance</w:t>
      </w:r>
    </w:p>
    <w:p>
      <w:pPr>
        <w:pStyle w:val="ListBullet"/>
      </w:pPr>
      <w:r>
        <w:t>无 ¥39.9 Identity 付费墙</w:t>
      </w:r>
    </w:p>
    <w:p>
      <w:pPr>
        <w:pStyle w:val="ListBullet"/>
      </w:pPr>
      <w:r>
        <w:t>8 Path 顺序一致</w:t>
      </w:r>
    </w:p>
    <w:p>
      <w:pPr>
        <w:pStyle w:val="ListBullet"/>
      </w:pPr>
      <w:r>
        <w:t>Free 6/动态题/报告/Advisor/CRM E2E 可演示</w:t>
      </w:r>
    </w:p>
    <w:p>
      <w:pPr>
        <w:pStyle w:val="ListBullet"/>
      </w:pPr>
      <w:r>
        <w:t>过期 Policy 不用于确定输出</w:t>
      </w:r>
    </w:p>
    <w:p>
      <w:pPr>
        <w:pStyle w:val="ListBullet"/>
      </w:pPr>
      <w:r>
        <w:t>报告无概率/法律结论/保证</w:t>
      </w:r>
    </w:p>
    <w:p>
      <w:pPr>
        <w:pStyle w:val="ListBullet"/>
      </w:pPr>
      <w:r>
        <w:t>Study 明确 Admission ≠ Student Visa ≠ IANG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