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Phoenix Study Admission Strategy Matrix™ V1.0</w:t>
      </w:r>
    </w:p>
    <w:p>
      <w:r>
        <w:t>Phoenix Identity Compass™ Internal Strategy Knowledge Document</w:t>
      </w:r>
    </w:p>
    <w:p>
      <w:pPr>
        <w:pStyle w:val="Heading1"/>
      </w:pPr>
      <w:r>
        <w:t>1｜定位</w:t>
      </w:r>
    </w:p>
    <w:p>
      <w:r>
        <w:t>本文件属于 PHOENIX_INTERNAL。用于 Phoenix Identity Compass™ Study/IANG 路径中的内部 Admission Strategy 结构化整理，不代表香港政府政策，不代表学校官方录取标准。</w:t>
      </w:r>
    </w:p>
    <w:p>
      <w:pPr>
        <w:pStyle w:val="Heading1"/>
      </w:pPr>
      <w:r>
        <w:t>2｜强制边界</w:t>
      </w:r>
    </w:p>
    <w:p>
      <w:pPr>
        <w:pStyle w:val="ListBullet"/>
      </w:pPr>
      <w:r>
        <w:t>学校录取经验 ≠ 香港政府身份政策。</w:t>
      </w:r>
    </w:p>
    <w:p>
      <w:pPr>
        <w:pStyle w:val="ListBullet"/>
      </w:pPr>
      <w:r>
        <w:t>Admission ≠ Student Visa ≠ IANG。</w:t>
      </w:r>
    </w:p>
    <w:p>
      <w:pPr>
        <w:pStyle w:val="ListBullet"/>
      </w:pPr>
      <w:r>
        <w:t>OFFICIAL / SCHOOL_SPECIFIC / PHOENIX_INTERNAL 必须严格分层。</w:t>
      </w:r>
    </w:p>
    <w:p>
      <w:pPr>
        <w:pStyle w:val="ListBullet"/>
      </w:pPr>
      <w:r>
        <w:t>不得用于保证录取或身份结果。</w:t>
      </w:r>
    </w:p>
    <w:p>
      <w:pPr>
        <w:pStyle w:val="Heading1"/>
      </w:pPr>
      <w:r>
        <w:t>3｜内部 Strategy Profiles</w:t>
      </w:r>
    </w:p>
    <w:p>
      <w:pPr>
        <w:pStyle w:val="ListBullet"/>
      </w:pPr>
      <w:r>
        <w:t>本科双证强院校</w:t>
      </w:r>
    </w:p>
    <w:p>
      <w:pPr>
        <w:pStyle w:val="ListBullet"/>
      </w:pPr>
      <w:r>
        <w:t>本科双证普通院校</w:t>
      </w:r>
    </w:p>
    <w:p>
      <w:pPr>
        <w:pStyle w:val="ListBullet"/>
      </w:pPr>
      <w:r>
        <w:t>本科单证</w:t>
      </w:r>
    </w:p>
    <w:p>
      <w:pPr>
        <w:pStyle w:val="ListBullet"/>
      </w:pPr>
      <w:r>
        <w:t>大专 + 长期工作经验</w:t>
      </w:r>
    </w:p>
    <w:p>
      <w:pPr>
        <w:pStyle w:val="ListBullet"/>
      </w:pPr>
      <w:r>
        <w:t>高中 / 中专 / VTC 等职业路径</w:t>
      </w:r>
    </w:p>
    <w:p>
      <w:pPr>
        <w:pStyle w:val="Heading1"/>
      </w:pPr>
      <w:r>
        <w:t>4｜使用规则</w:t>
      </w:r>
    </w:p>
    <w:p>
      <w:pPr>
        <w:pStyle w:val="ListBullet"/>
      </w:pPr>
      <w:r>
        <w:t>Matrix 只能作为 Phoenix Internal Experience Layer 使用。</w:t>
      </w:r>
    </w:p>
    <w:p>
      <w:pPr>
        <w:pStyle w:val="ListBullet"/>
      </w:pPr>
      <w:r>
        <w:t>身份判断必须同时依赖官方政策层。</w:t>
      </w:r>
    </w:p>
    <w:p>
      <w:pPr>
        <w:pStyle w:val="ListBullet"/>
      </w:pPr>
      <w:r>
        <w:t>内部经验不得覆盖官方资格条件。</w:t>
      </w:r>
    </w:p>
    <w:p>
      <w:pPr>
        <w:pStyle w:val="ListBullet"/>
      </w:pPr>
      <w:r>
        <w:t>无法确认时输出：需核验。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