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12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Голощапов</w:t>
      </w:r>
      <w:r>
        <w:t xml:space="preserve"> </w:t>
      </w:r>
      <w:r>
        <w:t xml:space="preserve">Ярослав</w:t>
      </w:r>
      <w:r>
        <w:t xml:space="preserve"> </w:t>
      </w:r>
      <w:r>
        <w:t xml:space="preserve">Вячеславович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Построение модели простого протокола передачи данных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Рассмотрим ненадёжную сеть передачи данных, состоящую из источника, получателя.</w:t>
      </w:r>
      <w:r>
        <w:t xml:space="preserve"> </w:t>
      </w:r>
      <w:r>
        <w:t xml:space="preserve">Перед отправкой очередной порции данных источник должен получить от получателя подтверждение о доставке предыдущей порции данных.</w:t>
      </w:r>
      <w:r>
        <w:t xml:space="preserve"> </w:t>
      </w:r>
      <w:r>
        <w:t xml:space="preserve">Считаем, что пакет состоит из номера пакета и строковых данных. Передавать</w:t>
      </w:r>
      <w:r>
        <w:t xml:space="preserve"> </w:t>
      </w:r>
      <w:r>
        <w:t xml:space="preserve">будем сообщение «Modelling and Analysis by Means of Coloured Petry Nets», разбитое</w:t>
      </w:r>
      <w:r>
        <w:t xml:space="preserve"> </w:t>
      </w:r>
      <w:r>
        <w:t xml:space="preserve">по 8 символов.</w:t>
      </w:r>
    </w:p>
    <w:bookmarkEnd w:id="21"/>
    <w:bookmarkStart w:id="3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Основные состояния: источник (Send), получатель (Receiver).</w:t>
      </w:r>
      <w:r>
        <w:t xml:space="preserve"> </w:t>
      </w:r>
      <w:r>
        <w:t xml:space="preserve">Действия (переходы): отправить пакет (Send Packet), отправить подтверждение</w:t>
      </w:r>
      <w:r>
        <w:t xml:space="preserve"> </w:t>
      </w:r>
      <w:r>
        <w:t xml:space="preserve">(Send ACK).</w:t>
      </w:r>
      <w:r>
        <w:t xml:space="preserve"> </w:t>
      </w:r>
      <w:r>
        <w:t xml:space="preserve">Промежуточное состояние: следующий посылаемый пакет (NextSend).</w:t>
      </w:r>
    </w:p>
    <w:p>
      <w:pPr>
        <w:pStyle w:val="BodyText"/>
      </w:pPr>
      <w:r>
        <w:t xml:space="preserve">Создаем начальный граф вместе с декларациями (рис. 1).</w:t>
      </w:r>
    </w:p>
    <w:p>
      <w:pPr>
        <w:pStyle w:val="CaptionedFigure"/>
      </w:pPr>
      <w:r>
        <w:drawing>
          <wp:inline>
            <wp:extent cx="3733800" cy="2611708"/>
            <wp:effectExtent b="0" l="0" r="0" t="0"/>
            <wp:docPr descr="Начальный граф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11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Начальный граф</w:t>
      </w:r>
    </w:p>
    <w:p>
      <w:pPr>
        <w:pStyle w:val="BodyText"/>
      </w:pPr>
      <w:r>
        <w:t xml:space="preserve">Зададим промежуточные состояния (A, B с типом INTxDATA, C, D с типом</w:t>
      </w:r>
      <w:r>
        <w:t xml:space="preserve"> </w:t>
      </w:r>
      <w:r>
        <w:t xml:space="preserve">INTxDATA) для переходов (рис. 12.2): передать пакет Transmit Packet (передаём</w:t>
      </w:r>
      <w:r>
        <w:t xml:space="preserve"> </w:t>
      </w:r>
      <w:r>
        <w:t xml:space="preserve">(n,p)), передать подтверждение Transmit ACK (передаём целое число k).</w:t>
      </w:r>
      <w:r>
        <w:t xml:space="preserve"> </w:t>
      </w:r>
      <w:r>
        <w:t xml:space="preserve">Добавляем переход получения пакета (Receive Packet).</w:t>
      </w:r>
      <w:r>
        <w:t xml:space="preserve"> </w:t>
      </w:r>
      <w:r>
        <w:t xml:space="preserve">От состояния Receiver идёт дуга к переходу Receive Packet со значением той</w:t>
      </w:r>
      <w:r>
        <w:t xml:space="preserve"> </w:t>
      </w:r>
      <w:r>
        <w:t xml:space="preserve">строки (str), которая находится в состоянии Receiver. Обратно: проверяем, что</w:t>
      </w:r>
      <w:r>
        <w:t xml:space="preserve"> </w:t>
      </w:r>
      <w:r>
        <w:t xml:space="preserve">номер пакета новый и строка не равна стоп-биту. Если это так, то строку добавляем</w:t>
      </w:r>
      <w:r>
        <w:t xml:space="preserve"> </w:t>
      </w:r>
      <w:r>
        <w:t xml:space="preserve">к полученным данным.</w:t>
      </w:r>
      <w:r>
        <w:t xml:space="preserve"> </w:t>
      </w:r>
      <w:r>
        <w:t xml:space="preserve">Кроме того, необходимо знать, каким будет номер следующего пакета. Для этого</w:t>
      </w:r>
      <w:r>
        <w:t xml:space="preserve"> </w:t>
      </w:r>
      <w:r>
        <w:t xml:space="preserve">добавляем состояние NextRec с типом INT и начальным значением 1`1 (один пакет),</w:t>
      </w:r>
      <w:r>
        <w:t xml:space="preserve"> </w:t>
      </w:r>
      <w:r>
        <w:t xml:space="preserve">связываем его дугами с переходом Receive Packet. Причём к переходу идёт дуга</w:t>
      </w:r>
      <w:r>
        <w:t xml:space="preserve"> </w:t>
      </w:r>
      <w:r>
        <w:t xml:space="preserve">с выражением k, от перехода — if n=k then k+1 else k.</w:t>
      </w:r>
      <w:r>
        <w:t xml:space="preserve"> </w:t>
      </w:r>
      <w:r>
        <w:t xml:space="preserve">Связываем состояния B и C с переходом Receive Packet. От состояния B</w:t>
      </w:r>
      <w:r>
        <w:t xml:space="preserve"> </w:t>
      </w:r>
      <w:r>
        <w:t xml:space="preserve">к переходу Receive Packet — выражение (n,p), от перехода Receive Packet</w:t>
      </w:r>
      <w:r>
        <w:t xml:space="preserve"> </w:t>
      </w:r>
      <w:r>
        <w:t xml:space="preserve">к состоянию C — выражение if n=k then k+1 else k.</w:t>
      </w:r>
      <w:r>
        <w:t xml:space="preserve"> </w:t>
      </w:r>
      <w:r>
        <w:t xml:space="preserve">От перехода Receive Packet к состоянию Receiver:</w:t>
      </w:r>
      <w:r>
        <w:t xml:space="preserve"> </w:t>
      </w:r>
      <w:r>
        <w:t xml:space="preserve">if n=k andalso p&lt;&gt;stop then str^p else str (рис. 2)</w:t>
      </w:r>
    </w:p>
    <w:p>
      <w:pPr>
        <w:pStyle w:val="CaptionedFigure"/>
      </w:pPr>
      <w:r>
        <w:drawing>
          <wp:inline>
            <wp:extent cx="3733800" cy="2950572"/>
            <wp:effectExtent b="0" l="0" r="0" t="0"/>
            <wp:docPr descr="Промежуточный граф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0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Промежуточный граф</w:t>
      </w:r>
    </w:p>
    <w:p>
      <w:pPr>
        <w:pStyle w:val="BodyText"/>
      </w:pPr>
      <w:r>
        <w:t xml:space="preserve">Создаем конечный граф(рис. 3)</w:t>
      </w:r>
    </w:p>
    <w:p>
      <w:pPr>
        <w:pStyle w:val="CaptionedFigure"/>
      </w:pPr>
      <w:r>
        <w:drawing>
          <wp:inline>
            <wp:extent cx="3733800" cy="2643828"/>
            <wp:effectExtent b="0" l="0" r="0" t="0"/>
            <wp:docPr descr="Модель простого протокола передачи данных" title="" id="29" name="Picture"/>
            <a:graphic>
              <a:graphicData uri="http://schemas.openxmlformats.org/drawingml/2006/picture">
                <pic:pic>
                  <pic:nvPicPr>
                    <pic:cNvPr descr="image/0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43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простого протокола передачи данных</w:t>
      </w:r>
    </w:p>
    <w:p>
      <w:pPr>
        <w:pStyle w:val="BodyText"/>
      </w:pPr>
      <w:r>
        <w:t xml:space="preserve">Выводим отчёт о пространстве состояний (рис. 4).</w:t>
      </w:r>
    </w:p>
    <w:p>
      <w:pPr>
        <w:pStyle w:val="CaptionedFigure"/>
      </w:pPr>
      <w:r>
        <w:drawing>
          <wp:inline>
            <wp:extent cx="3733800" cy="2819067"/>
            <wp:effectExtent b="0" l="0" r="0" t="0"/>
            <wp:docPr descr="Отчет" title="" id="32" name="Picture"/>
            <a:graphic>
              <a:graphicData uri="http://schemas.openxmlformats.org/drawingml/2006/picture">
                <pic:pic>
                  <pic:nvPicPr>
                    <pic:cNvPr descr="image/0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19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Отчет</w:t>
      </w:r>
    </w:p>
    <w:p>
      <w:pPr>
        <w:pStyle w:val="BodyText"/>
      </w:pPr>
      <w:r>
        <w:t xml:space="preserve">Строим граф пространства состояний(рис. 5)</w:t>
      </w:r>
    </w:p>
    <w:p>
      <w:pPr>
        <w:pStyle w:val="CaptionedFigure"/>
      </w:pPr>
      <w:r>
        <w:drawing>
          <wp:inline>
            <wp:extent cx="3733800" cy="1647152"/>
            <wp:effectExtent b="0" l="0" r="0" t="0"/>
            <wp:docPr descr="Пространство состояний" title="" id="35" name="Picture"/>
            <a:graphic>
              <a:graphicData uri="http://schemas.openxmlformats.org/drawingml/2006/picture">
                <pic:pic>
                  <pic:nvPicPr>
                    <pic:cNvPr descr="image/0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7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Пространство состояний</w:t>
      </w:r>
    </w:p>
    <w:bookmarkEnd w:id="37"/>
    <w:bookmarkStart w:id="3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приобрел навыки построения модели простого протокола передачи данных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12</dc:title>
  <dc:creator>Голощапов Ярослав Вячеславович</dc:creator>
  <dc:language>ru-RU</dc:language>
  <cp:keywords/>
  <dcterms:created xsi:type="dcterms:W3CDTF">2025-03-10T17:52:25Z</dcterms:created>
  <dcterms:modified xsi:type="dcterms:W3CDTF">2025-03-10T17:52:25Z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