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wykład</w:t>
      </w:r>
      <w:r>
        <w:t xml:space="preserve"> </w:t>
      </w:r>
      <w:r>
        <w:t xml:space="preserve">4.10,</w:t>
      </w:r>
      <w:r>
        <w:t xml:space="preserve"> </w:t>
      </w:r>
      <w:r>
        <w:t xml:space="preserve">18.10</w:t>
      </w:r>
    </w:p>
    <w:p>
      <w:pPr>
        <w:pStyle w:val="FirstParagraph"/>
      </w:pPr>
      <w:r>
        <w:t xml:space="preserve">Dr hab. Ewa Januś</w:t>
      </w:r>
      <w:r>
        <w:br/>
      </w:r>
      <w:r>
        <w:t xml:space="preserve">ZOOT 111</w:t>
      </w:r>
      <w:r>
        <w:br/>
      </w:r>
      <w:r>
        <w:t xml:space="preserve">730 045 793</w:t>
      </w:r>
      <w:r>
        <w:br/>
      </w:r>
      <w:hyperlink r:id="rId20">
        <w:r>
          <w:rPr>
            <w:rStyle w:val="Hyperlink"/>
          </w:rPr>
          <w:t xml:space="preserve">ewa.janus@up.lublin.pl</w:t>
        </w:r>
      </w:hyperlink>
    </w:p>
    <w:bookmarkStart w:id="24" w:name="istota-i-skala-produkcji-ekologicznej"/>
    <w:p>
      <w:pPr>
        <w:pStyle w:val="Heading1"/>
      </w:pPr>
      <w:r>
        <w:t xml:space="preserve">Istota i skala produkcji ekologicznej</w:t>
      </w:r>
    </w:p>
    <w:p>
      <w:pPr>
        <w:numPr>
          <w:ilvl w:val="0"/>
          <w:numId w:val="1001"/>
        </w:numPr>
        <w:pStyle w:val="Compact"/>
      </w:pPr>
      <w:r>
        <w:t xml:space="preserve">alternatywny względem rolnicwa konwencjonalnego system gospodarowania</w:t>
      </w:r>
    </w:p>
    <w:p>
      <w:pPr>
        <w:numPr>
          <w:ilvl w:val="0"/>
          <w:numId w:val="1001"/>
        </w:numPr>
        <w:pStyle w:val="Compact"/>
      </w:pPr>
      <w:r>
        <w:t xml:space="preserve">łączy w sobie najkorzystniejsze dla środowiska praktyki rolnicze, wysoki stopień różnorodności biologicznej, ochronę zasobów naturalnych, dobrostanu zwierząt, a także wykorzystuje metody produkcji oparte na naturalnych procesach</w:t>
      </w:r>
    </w:p>
    <w:p>
      <w:pPr>
        <w:numPr>
          <w:ilvl w:val="0"/>
          <w:numId w:val="1001"/>
        </w:numPr>
        <w:pStyle w:val="Compact"/>
      </w:pPr>
      <w:r>
        <w:t xml:space="preserve">nadrzędnym celem rolnictwa ekologicznego jest produkcja żywności wysokiej jakości przy równoczesnym zachowaniu w jak największym stopniu równowagi biologicznej w środowisku przyrodniczym</w:t>
      </w:r>
    </w:p>
    <w:bookmarkStart w:id="21" w:name="korzyści-z-rolnictwa-ekologicznego"/>
    <w:p>
      <w:pPr>
        <w:pStyle w:val="Heading2"/>
      </w:pPr>
      <w:r>
        <w:t xml:space="preserve">korzyści z rolnictwa ekologicznego</w:t>
      </w:r>
    </w:p>
    <w:p>
      <w:pPr>
        <w:numPr>
          <w:ilvl w:val="0"/>
          <w:numId w:val="1002"/>
        </w:numPr>
        <w:pStyle w:val="Compact"/>
      </w:pPr>
      <w:r>
        <w:t xml:space="preserve">społeczno-ekonomiczne</w:t>
      </w:r>
    </w:p>
    <w:p>
      <w:pPr>
        <w:numPr>
          <w:ilvl w:val="0"/>
          <w:numId w:val="1002"/>
        </w:numPr>
        <w:pStyle w:val="Compact"/>
      </w:pPr>
      <w:r>
        <w:t xml:space="preserve">środowiskowe</w:t>
      </w:r>
    </w:p>
    <w:p>
      <w:pPr>
        <w:numPr>
          <w:ilvl w:val="0"/>
          <w:numId w:val="1002"/>
        </w:numPr>
        <w:pStyle w:val="Compact"/>
      </w:pPr>
      <w:r>
        <w:t xml:space="preserve">zdrowotne</w:t>
      </w:r>
    </w:p>
    <w:p>
      <w:r>
        <w:pict>
          <v:rect style="width:0;height:1.5pt" o:hralign="center" o:hrstd="t" o:hr="t"/>
        </w:pict>
      </w:r>
    </w:p>
    <w:p>
      <w:pPr>
        <w:numPr>
          <w:ilvl w:val="0"/>
          <w:numId w:val="1003"/>
        </w:numPr>
        <w:pStyle w:val="Compact"/>
      </w:pPr>
      <w:r>
        <w:t xml:space="preserve">dostarczenie produktów o wysokiej wartości zdrowotnej, gwarancja tej jakości</w:t>
      </w:r>
    </w:p>
    <w:p>
      <w:pPr>
        <w:numPr>
          <w:ilvl w:val="0"/>
          <w:numId w:val="1003"/>
        </w:numPr>
        <w:pStyle w:val="Compact"/>
      </w:pPr>
      <w:r>
        <w:t xml:space="preserve">tworzenie harmonijnej równowagi między uprawą roślin a chowem zwierząt</w:t>
      </w:r>
    </w:p>
    <w:p>
      <w:pPr>
        <w:numPr>
          <w:ilvl w:val="0"/>
          <w:numId w:val="1003"/>
        </w:numPr>
        <w:pStyle w:val="Compact"/>
      </w:pPr>
      <w:r>
        <w:t xml:space="preserve">ochrona gleby i wody oraz różnorodności biologicznej</w:t>
      </w:r>
    </w:p>
    <w:p>
      <w:pPr>
        <w:numPr>
          <w:ilvl w:val="0"/>
          <w:numId w:val="1003"/>
        </w:numPr>
        <w:pStyle w:val="Compact"/>
      </w:pPr>
      <w:r>
        <w:t xml:space="preserve">zachowanie zróżnicowanego krajobrazu rolniczego</w:t>
      </w:r>
    </w:p>
    <w:p>
      <w:pPr>
        <w:numPr>
          <w:ilvl w:val="0"/>
          <w:numId w:val="1003"/>
        </w:numPr>
        <w:pStyle w:val="Compact"/>
      </w:pPr>
      <w:r>
        <w:t xml:space="preserve">wspieranie lokalnej i regionalnej produkcji i dystrybucji</w:t>
      </w:r>
    </w:p>
    <w:p>
      <w:pPr>
        <w:numPr>
          <w:ilvl w:val="0"/>
          <w:numId w:val="1003"/>
        </w:numPr>
        <w:pStyle w:val="Compact"/>
      </w:pPr>
      <w:r>
        <w:t xml:space="preserve">utrzymanie miejsc pracy na wsi i obszarach wiejskich</w:t>
      </w:r>
    </w:p>
    <w:bookmarkEnd w:id="21"/>
    <w:bookmarkStart w:id="22" w:name="podstawowe-zasady-produkcji-ekologicznej"/>
    <w:p>
      <w:pPr>
        <w:pStyle w:val="Heading2"/>
      </w:pPr>
      <w:r>
        <w:t xml:space="preserve">podstawowe zasady produkcji ekologicznej:</w:t>
      </w:r>
    </w:p>
    <w:p>
      <w:pPr>
        <w:numPr>
          <w:ilvl w:val="0"/>
          <w:numId w:val="1004"/>
        </w:numPr>
        <w:pStyle w:val="Compact"/>
      </w:pPr>
      <w:r>
        <w:t xml:space="preserve">naturalna żyzność gleby i różnorodność biologiczna</w:t>
      </w:r>
    </w:p>
    <w:p>
      <w:pPr>
        <w:numPr>
          <w:ilvl w:val="0"/>
          <w:numId w:val="1004"/>
        </w:numPr>
        <w:pStyle w:val="Compact"/>
      </w:pPr>
      <w:r>
        <w:t xml:space="preserve">ograniczenie lub zaniechanie chemizacji</w:t>
      </w:r>
    </w:p>
    <w:p>
      <w:pPr>
        <w:numPr>
          <w:ilvl w:val="0"/>
          <w:numId w:val="1004"/>
        </w:numPr>
        <w:pStyle w:val="Compact"/>
      </w:pPr>
      <w:r>
        <w:t xml:space="preserve">surowce odnawialne w produkcji i w przetwórstwie</w:t>
      </w:r>
    </w:p>
    <w:p>
      <w:pPr>
        <w:numPr>
          <w:ilvl w:val="0"/>
          <w:numId w:val="1004"/>
        </w:numPr>
        <w:pStyle w:val="Compact"/>
      </w:pPr>
      <w:r>
        <w:t xml:space="preserve">recykling odpadów i produktów ubocznych</w:t>
      </w:r>
    </w:p>
    <w:p>
      <w:pPr>
        <w:numPr>
          <w:ilvl w:val="0"/>
          <w:numId w:val="1004"/>
        </w:numPr>
        <w:pStyle w:val="Compact"/>
      </w:pPr>
      <w:r>
        <w:t xml:space="preserve">nawożenie organiczne i płodozmian</w:t>
      </w:r>
    </w:p>
    <w:p>
      <w:pPr>
        <w:numPr>
          <w:ilvl w:val="0"/>
          <w:numId w:val="1004"/>
        </w:numPr>
        <w:pStyle w:val="Compact"/>
      </w:pPr>
      <w:r>
        <w:t xml:space="preserve">produkcja zwierzęca nieodłączną częścią gospodarstwa</w:t>
      </w:r>
    </w:p>
    <w:p>
      <w:pPr>
        <w:numPr>
          <w:ilvl w:val="0"/>
          <w:numId w:val="1004"/>
        </w:numPr>
        <w:pStyle w:val="Compact"/>
      </w:pPr>
      <w:r>
        <w:t xml:space="preserve">samowystarczalność paszowa i dobrostan</w:t>
      </w:r>
    </w:p>
    <w:p>
      <w:pPr>
        <w:numPr>
          <w:ilvl w:val="0"/>
          <w:numId w:val="1004"/>
        </w:numPr>
        <w:pStyle w:val="Compact"/>
      </w:pPr>
      <w:r>
        <w:t xml:space="preserve">stosowanie antybiotyków podlega surowym restrykcjom</w:t>
      </w:r>
    </w:p>
    <w:p>
      <w:pPr>
        <w:numPr>
          <w:ilvl w:val="0"/>
          <w:numId w:val="1004"/>
        </w:numPr>
        <w:pStyle w:val="Compact"/>
      </w:pPr>
      <w:r>
        <w:t xml:space="preserve">nie dla upraw i pasz GMO</w:t>
      </w:r>
    </w:p>
    <w:bookmarkEnd w:id="22"/>
    <w:bookmarkStart w:id="23" w:name="X77de8f480f863e079c6cf712e9edc20ded9edfb"/>
    <w:p>
      <w:pPr>
        <w:pStyle w:val="Heading2"/>
      </w:pPr>
      <w:r>
        <w:t xml:space="preserve">zasady prowadzenia produkcji zwierzęcej metodami ekologicznymi:</w:t>
      </w:r>
    </w:p>
    <w:p>
      <w:pPr>
        <w:pStyle w:val="FirstParagraph"/>
      </w:pPr>
      <w:r>
        <w:t xml:space="preserve">rola zwierząt w gospodarstwach ekologicznych:</w:t>
      </w:r>
    </w:p>
    <w:p>
      <w:pPr>
        <w:numPr>
          <w:ilvl w:val="0"/>
          <w:numId w:val="1005"/>
        </w:numPr>
        <w:pStyle w:val="Compact"/>
      </w:pPr>
      <w:r>
        <w:t xml:space="preserve">usprawnianie i zamykanie obiegu materii</w:t>
      </w:r>
    </w:p>
    <w:p>
      <w:pPr>
        <w:numPr>
          <w:ilvl w:val="0"/>
          <w:numId w:val="1005"/>
        </w:numPr>
        <w:pStyle w:val="Compact"/>
      </w:pPr>
      <w:r>
        <w:t xml:space="preserve">wymuszenie włączenia do uprawy roślin pastewnych (poszerzenie bioróżnorodności)</w:t>
      </w:r>
    </w:p>
    <w:p>
      <w:pPr>
        <w:numPr>
          <w:ilvl w:val="0"/>
          <w:numId w:val="1005"/>
        </w:numPr>
        <w:pStyle w:val="Compact"/>
      </w:pPr>
      <w:r>
        <w:t xml:space="preserve">zapewnienie gospodarstwu własnych nawozów organicznych</w:t>
      </w:r>
    </w:p>
    <w:p>
      <w:pPr>
        <w:numPr>
          <w:ilvl w:val="1"/>
          <w:numId w:val="1006"/>
        </w:numPr>
        <w:pStyle w:val="Compact"/>
      </w:pPr>
      <w:r>
        <w:t xml:space="preserve">obsada zwierząt na poziomie 0,5-1,5 DJP/ha (duże jednostki przeliczeniowe - jednostka odpowiadająca krowie o masie 500 kg) umożliwia gospodarstwom samowystarczalność paszowo-nawozową</w:t>
      </w:r>
    </w:p>
    <w:p>
      <w:pPr>
        <w:numPr>
          <w:ilvl w:val="1"/>
          <w:numId w:val="1006"/>
        </w:numPr>
        <w:pStyle w:val="Compact"/>
      </w:pPr>
      <w:r>
        <w:t xml:space="preserve">dopuszczalna obsada w gospodarstwach ekologicznych to 2 DJP/ha, co w skali roku daje 170 kg azotu zawartego w odchodach zwierząt</w:t>
      </w:r>
    </w:p>
    <w:p>
      <w:pPr>
        <w:numPr>
          <w:ilvl w:val="1"/>
          <w:numId w:val="1006"/>
        </w:numPr>
        <w:pStyle w:val="Compact"/>
      </w:pPr>
      <w:r>
        <w:t xml:space="preserve">zabrania się produkcji zwierzęcej bez gruntów rolnych</w:t>
      </w:r>
    </w:p>
    <w:p>
      <w:pPr>
        <w:numPr>
          <w:ilvl w:val="1"/>
          <w:numId w:val="1006"/>
        </w:numPr>
        <w:pStyle w:val="Compact"/>
      </w:pPr>
      <w:r>
        <w:t xml:space="preserve">w zakresie zagospodarowania nadmiaru obornika dopuszcza się podpisanie umowy z gospodarstwami przestrzegającymi zasad produkcji ekologicznej</w:t>
      </w:r>
    </w:p>
    <w:p>
      <w:pPr>
        <w:numPr>
          <w:ilvl w:val="0"/>
          <w:numId w:val="1005"/>
        </w:numPr>
        <w:pStyle w:val="Compact"/>
      </w:pPr>
      <w:r>
        <w:t xml:space="preserve">zwierzętom gospodarskim należy zapewnić dobrostan</w:t>
      </w:r>
    </w:p>
    <w:p>
      <w:pPr>
        <w:numPr>
          <w:ilvl w:val="1"/>
          <w:numId w:val="1007"/>
        </w:numPr>
        <w:pStyle w:val="Compact"/>
      </w:pPr>
      <w:r>
        <w:t xml:space="preserve">warunki chowu i utrzymania zwierząt muszą być zgodne z ich wymaganiami gatunkowymi</w:t>
      </w:r>
    </w:p>
    <w:p>
      <w:pPr>
        <w:numPr>
          <w:ilvl w:val="1"/>
          <w:numId w:val="1007"/>
        </w:numPr>
        <w:pStyle w:val="Compact"/>
      </w:pPr>
      <w:r>
        <w:t xml:space="preserve">możliwość ruchu na powietrzu - wychów pastwiskowy latem i dostęp do wybiegów zimą</w:t>
      </w:r>
    </w:p>
    <w:p>
      <w:pPr>
        <w:numPr>
          <w:ilvl w:val="1"/>
          <w:numId w:val="1007"/>
        </w:numPr>
        <w:pStyle w:val="Compact"/>
      </w:pPr>
      <w:r>
        <w:t xml:space="preserve">dostateczna wielkość stanowiska</w:t>
      </w:r>
    </w:p>
    <w:p>
      <w:pPr>
        <w:numPr>
          <w:ilvl w:val="1"/>
          <w:numId w:val="1007"/>
        </w:numPr>
        <w:pStyle w:val="Compact"/>
      </w:pPr>
      <w:r>
        <w:t xml:space="preserve">stały dostęp do wody i pasz</w:t>
      </w:r>
    </w:p>
    <w:p>
      <w:pPr>
        <w:numPr>
          <w:ilvl w:val="1"/>
          <w:numId w:val="1007"/>
        </w:numPr>
        <w:pStyle w:val="Compact"/>
      </w:pPr>
      <w:r>
        <w:t xml:space="preserve">wystarczająca ilość światła</w:t>
      </w:r>
    </w:p>
    <w:p>
      <w:pPr>
        <w:numPr>
          <w:ilvl w:val="1"/>
          <w:numId w:val="1007"/>
        </w:numPr>
        <w:pStyle w:val="Compact"/>
      </w:pPr>
      <w:r>
        <w:t xml:space="preserve">naturalna ściółka</w:t>
      </w:r>
    </w:p>
    <w:p>
      <w:pPr>
        <w:numPr>
          <w:ilvl w:val="0"/>
          <w:numId w:val="1005"/>
        </w:numPr>
        <w:pStyle w:val="Compact"/>
      </w:pPr>
      <w:r>
        <w:t xml:space="preserve">wymagania dotyczące pasz dla zwierząt</w:t>
      </w:r>
    </w:p>
    <w:p>
      <w:pPr>
        <w:numPr>
          <w:ilvl w:val="1"/>
          <w:numId w:val="1008"/>
        </w:numPr>
        <w:pStyle w:val="Compact"/>
      </w:pPr>
      <w:r>
        <w:t xml:space="preserve">wyklucza się pasze przemysłowe, zawierającce syntetyczne dodatki paszowe</w:t>
      </w:r>
    </w:p>
    <w:p>
      <w:pPr>
        <w:numPr>
          <w:ilvl w:val="1"/>
          <w:numId w:val="1008"/>
        </w:numPr>
        <w:pStyle w:val="Compact"/>
      </w:pPr>
      <w:r>
        <w:t xml:space="preserve">pochodzenie pasz - z własnego gospodarstwa lub z iinnych gospodarstw ekologicznych; dopuszcza się skarmianie własnych pasz, gdy gospodarstwo jest w okresie konwersji (do 100%) oraz zakup pasz z innych gospodarstw w okresie konwersji (30%)</w:t>
      </w:r>
    </w:p>
    <w:p>
      <w:pPr>
        <w:numPr>
          <w:ilvl w:val="0"/>
          <w:numId w:val="1005"/>
        </w:numPr>
        <w:pStyle w:val="Compact"/>
      </w:pPr>
      <w:r>
        <w:t xml:space="preserve">okaleczanie zwierząt (kastrowanie, obcinanie kiełków, skracanie dziobów, ogonów etc.) jest w zasadzie niedozwolone; dopuszcza się jedynie niektóre zabiegi hodowlane i produkcyjne, wykonywane przez wykwalifikowany personel</w:t>
      </w:r>
    </w:p>
    <w:p>
      <w:pPr>
        <w:numPr>
          <w:ilvl w:val="0"/>
          <w:numId w:val="1005"/>
        </w:numPr>
        <w:pStyle w:val="Compact"/>
      </w:pPr>
      <w:r>
        <w:t xml:space="preserve">zdrowie i leczenie zwierząt</w:t>
      </w:r>
    </w:p>
    <w:p>
      <w:pPr>
        <w:numPr>
          <w:ilvl w:val="1"/>
          <w:numId w:val="1009"/>
        </w:numPr>
        <w:pStyle w:val="Compact"/>
      </w:pPr>
      <w:r>
        <w:t xml:space="preserve">opieka nad zdrowiem zwierząt powinna zasadniczo opierać się na zapobieganiu chorobom</w:t>
      </w:r>
    </w:p>
    <w:p>
      <w:pPr>
        <w:numPr>
          <w:ilvl w:val="1"/>
          <w:numId w:val="1009"/>
        </w:numPr>
        <w:pStyle w:val="Compact"/>
      </w:pPr>
      <w:r>
        <w:t xml:space="preserve">profilaktyczne podawanie leków jest zabronione</w:t>
      </w:r>
    </w:p>
    <w:p>
      <w:pPr>
        <w:numPr>
          <w:ilvl w:val="1"/>
          <w:numId w:val="1009"/>
        </w:numPr>
        <w:pStyle w:val="Compact"/>
      </w:pPr>
      <w:r>
        <w:t xml:space="preserve">szczepienia ochronne dopuszczone tylko wtedy, gdy są wymagae urzędowo</w:t>
      </w:r>
    </w:p>
    <w:p>
      <w:pPr>
        <w:numPr>
          <w:ilvl w:val="1"/>
          <w:numId w:val="1009"/>
        </w:numPr>
        <w:pStyle w:val="Compact"/>
      </w:pPr>
      <w:r>
        <w:t xml:space="preserve">leki alopatyczne takie jak antybiotyki, sulfonamidy, kokcydiostatyki można stosować wyjątkowo, pod kontrolą weterynarza, przy czym okres karencji dla produktów pochodzących od leczonych zwierząt jest dwa razy dłuższy niż określony przez producenta leku</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wa.janus@up.lublin.pl" TargetMode="External" /></Relationships>
</file>

<file path=word/_rels/footnotes.xml.rels><?xml version="1.0" encoding="UTF-8"?><Relationships xmlns="http://schemas.openxmlformats.org/package/2006/relationships"><Relationship Type="http://schemas.openxmlformats.org/officeDocument/2006/relationships/hyperlink" Id="rId20" Target="mailto:ewa.janus@up.lublin.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wykład 4.10, 18.10</dc:title>
  <dc:creator/>
  <cp:keywords/>
  <dcterms:created xsi:type="dcterms:W3CDTF">2022-10-25T12:11:09Z</dcterms:created>
  <dcterms:modified xsi:type="dcterms:W3CDTF">2022-10-25T12:11:09Z</dcterms:modified>
</cp:coreProperties>
</file>

<file path=docProps/custom.xml><?xml version="1.0" encoding="utf-8"?>
<Properties xmlns="http://schemas.openxmlformats.org/officeDocument/2006/custom-properties" xmlns:vt="http://schemas.openxmlformats.org/officeDocument/2006/docPropsVTypes"/>
</file>