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11.10</w:t>
      </w:r>
    </w:p>
    <w:bookmarkStart w:id="20" w:name="wstęp-do-immunologii"/>
    <w:p>
      <w:pPr>
        <w:pStyle w:val="Heading2"/>
      </w:pPr>
      <w:r>
        <w:t xml:space="preserve">wstęp do immunologii</w:t>
      </w:r>
    </w:p>
    <w:p>
      <w:pPr>
        <w:pStyle w:val="FirstParagraph"/>
      </w:pPr>
      <w:r>
        <w:rPr>
          <w:bCs/>
          <w:b/>
        </w:rPr>
        <w:t xml:space="preserve">układ immunologiczny:</w:t>
      </w:r>
      <w:r>
        <w:br/>
      </w:r>
      <w:r>
        <w:t xml:space="preserve">funkcja: obrona przed drobnoustrojami chorobotwórczymi i nowotworami</w:t>
      </w:r>
    </w:p>
    <w:p>
      <w:pPr>
        <w:pStyle w:val="BodyText"/>
      </w:pPr>
      <w:r>
        <w:rPr>
          <w:bCs/>
          <w:b/>
        </w:rPr>
        <w:t xml:space="preserve">elementy</w:t>
      </w:r>
      <w:r>
        <w:t xml:space="preserve">: komórki (fagocyty, limfocyty), białka (immunoglobuliny, składowe dopełniacza, białka ostrej fazy)</w:t>
      </w:r>
    </w:p>
    <w:p>
      <w:pPr>
        <w:pStyle w:val="BodyText"/>
      </w:pPr>
      <w:r>
        <w:rPr>
          <w:bCs/>
          <w:b/>
        </w:rPr>
        <w:t xml:space="preserve">rozpoznaje</w:t>
      </w:r>
      <w:r>
        <w:t xml:space="preserve"> </w:t>
      </w:r>
      <w:r>
        <w:t xml:space="preserve">i eliminuje: drobnoustroje (bakterie, wirusy, grzyby, pasożyty), białka (toksyny), nieprawidłowe komórki własne (nowotworowe)</w:t>
      </w:r>
    </w:p>
    <w:p>
      <w:pPr>
        <w:pStyle w:val="BodyText"/>
      </w:pPr>
      <w:r>
        <w:rPr>
          <w:bCs/>
          <w:b/>
        </w:rPr>
        <w:t xml:space="preserve">Leukocyty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granulocyty</w:t>
      </w:r>
    </w:p>
    <w:p>
      <w:pPr>
        <w:numPr>
          <w:ilvl w:val="1"/>
          <w:numId w:val="1002"/>
        </w:numPr>
        <w:pStyle w:val="Compact"/>
      </w:pPr>
      <w:r>
        <w:t xml:space="preserve">eozynofile</w:t>
      </w:r>
    </w:p>
    <w:p>
      <w:pPr>
        <w:numPr>
          <w:ilvl w:val="1"/>
          <w:numId w:val="1002"/>
        </w:numPr>
        <w:pStyle w:val="Compact"/>
      </w:pPr>
      <w:r>
        <w:t xml:space="preserve">bazofile</w:t>
      </w:r>
    </w:p>
    <w:p>
      <w:pPr>
        <w:numPr>
          <w:ilvl w:val="1"/>
          <w:numId w:val="1002"/>
        </w:numPr>
        <w:pStyle w:val="Compact"/>
      </w:pPr>
      <w:r>
        <w:t xml:space="preserve">neutrofile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agranulocyty</w:t>
      </w:r>
    </w:p>
    <w:p>
      <w:pPr>
        <w:numPr>
          <w:ilvl w:val="1"/>
          <w:numId w:val="1003"/>
        </w:numPr>
        <w:pStyle w:val="Compact"/>
      </w:pPr>
      <w:r>
        <w:t xml:space="preserve">limfocyty T,B</w:t>
      </w:r>
    </w:p>
    <w:p>
      <w:pPr>
        <w:numPr>
          <w:ilvl w:val="1"/>
          <w:numId w:val="1003"/>
        </w:numPr>
        <w:pStyle w:val="Compact"/>
      </w:pPr>
      <w:r>
        <w:t xml:space="preserve">monocyty</w:t>
      </w:r>
    </w:p>
    <w:p>
      <w:pPr>
        <w:pStyle w:val="FirstParagraph"/>
      </w:pPr>
      <w:r>
        <w:rPr>
          <w:bCs/>
          <w:b/>
        </w:rPr>
        <w:t xml:space="preserve">różnorodność odpowiedzi immunologicznej:</w:t>
      </w:r>
    </w:p>
    <w:p>
      <w:pPr>
        <w:numPr>
          <w:ilvl w:val="0"/>
          <w:numId w:val="1004"/>
        </w:numPr>
        <w:pStyle w:val="Compact"/>
      </w:pPr>
      <w:r>
        <w:t xml:space="preserve">pierwsza linia - zewnętrzna obrona ciała</w:t>
      </w:r>
    </w:p>
    <w:p>
      <w:pPr>
        <w:numPr>
          <w:ilvl w:val="1"/>
          <w:numId w:val="1005"/>
        </w:numPr>
        <w:pStyle w:val="Compact"/>
      </w:pPr>
      <w:r>
        <w:t xml:space="preserve">mikrobiom skóry - istnieją kluczowe cechy, pozwalające określić, czy mikrobiom jest zdrowy:</w:t>
      </w:r>
    </w:p>
    <w:p>
      <w:pPr>
        <w:numPr>
          <w:ilvl w:val="2"/>
          <w:numId w:val="1006"/>
        </w:numPr>
        <w:pStyle w:val="Compact"/>
      </w:pPr>
      <w:r>
        <w:t xml:space="preserve">różnorodność - odnosi się do liczby gatunków bakterii na skórze</w:t>
      </w:r>
    </w:p>
    <w:p>
      <w:pPr>
        <w:numPr>
          <w:ilvl w:val="2"/>
          <w:numId w:val="1006"/>
        </w:numPr>
        <w:pStyle w:val="Compact"/>
      </w:pPr>
      <w:r>
        <w:t xml:space="preserve">obfitość - w obrębie każdego gatunku, ich duża ilość</w:t>
      </w:r>
    </w:p>
    <w:p>
      <w:pPr>
        <w:numPr>
          <w:ilvl w:val="2"/>
          <w:numId w:val="1006"/>
        </w:numPr>
        <w:pStyle w:val="Compact"/>
      </w:pPr>
      <w:r>
        <w:t xml:space="preserve">mikrobiom o słabej różnorodności jest kojarzony z uszkodzoną barierą skórną; badania wykazały, że w wielu chorobach skóry, od łuszczycy przez atopowe zapalenie skóry, po trądzik różowaty, brakuje różnorodności bakteryjnej</w:t>
      </w:r>
    </w:p>
    <w:p>
      <w:pPr>
        <w:numPr>
          <w:ilvl w:val="2"/>
          <w:numId w:val="1006"/>
        </w:numPr>
        <w:pStyle w:val="Compact"/>
      </w:pPr>
      <w:r>
        <w:t xml:space="preserve">nieliczne (zarodzieć malarii, WZW-B) mogą zakazić przenikając bezpośrednio do krwi</w:t>
      </w:r>
    </w:p>
    <w:p>
      <w:pPr>
        <w:numPr>
          <w:ilvl w:val="0"/>
          <w:numId w:val="1004"/>
        </w:numPr>
        <w:pStyle w:val="Compact"/>
      </w:pPr>
      <w:r>
        <w:t xml:space="preserve">wiele patogenów przenika przez nabłonki przewodu pokarmowego i dróg moczowych</w:t>
      </w:r>
    </w:p>
    <w:p>
      <w:pPr>
        <w:numPr>
          <w:ilvl w:val="0"/>
          <w:numId w:val="1004"/>
        </w:numPr>
        <w:pStyle w:val="Compact"/>
      </w:pPr>
      <w:r>
        <w:t xml:space="preserve">zewnętrzna ochrona ciała:</w:t>
      </w:r>
    </w:p>
    <w:p>
      <w:pPr>
        <w:numPr>
          <w:ilvl w:val="1"/>
          <w:numId w:val="1007"/>
        </w:numPr>
        <w:pStyle w:val="Compact"/>
      </w:pPr>
      <w:r>
        <w:t xml:space="preserve">lizozym we łzach i innych wydzielinach</w:t>
      </w:r>
    </w:p>
    <w:p>
      <w:pPr>
        <w:numPr>
          <w:ilvl w:val="1"/>
          <w:numId w:val="1007"/>
        </w:numPr>
        <w:pStyle w:val="Compact"/>
      </w:pPr>
      <w:r>
        <w:t xml:space="preserve">komensale</w:t>
      </w:r>
    </w:p>
    <w:p>
      <w:pPr>
        <w:numPr>
          <w:ilvl w:val="1"/>
          <w:numId w:val="1007"/>
        </w:numPr>
        <w:pStyle w:val="Compact"/>
      </w:pPr>
      <w:r>
        <w:t xml:space="preserve">skóra, bariera fizyczna, kwasy tłuszczowe</w:t>
      </w:r>
    </w:p>
    <w:p>
      <w:pPr>
        <w:numPr>
          <w:ilvl w:val="1"/>
          <w:numId w:val="1007"/>
        </w:numPr>
        <w:pStyle w:val="Compact"/>
      </w:pPr>
      <w:r>
        <w:t xml:space="preserve">kwas (żołądek)</w:t>
      </w:r>
    </w:p>
    <w:p>
      <w:pPr>
        <w:numPr>
          <w:ilvl w:val="1"/>
          <w:numId w:val="1007"/>
        </w:numPr>
        <w:pStyle w:val="Compact"/>
      </w:pPr>
      <w:r>
        <w:t xml:space="preserve">szybka zmiana pH</w:t>
      </w:r>
    </w:p>
    <w:p>
      <w:pPr>
        <w:numPr>
          <w:ilvl w:val="1"/>
          <w:numId w:val="1007"/>
        </w:numPr>
        <w:pStyle w:val="Compact"/>
      </w:pPr>
      <w:r>
        <w:t xml:space="preserve">spłukiwanie dróg moczowych</w:t>
      </w:r>
    </w:p>
    <w:p>
      <w:pPr>
        <w:numPr>
          <w:ilvl w:val="1"/>
          <w:numId w:val="1007"/>
        </w:numPr>
        <w:pStyle w:val="Compact"/>
      </w:pPr>
      <w:r>
        <w:t xml:space="preserve">śluzówka, rzęski</w:t>
      </w:r>
    </w:p>
    <w:p>
      <w:pPr>
        <w:numPr>
          <w:ilvl w:val="1"/>
          <w:numId w:val="1007"/>
        </w:numPr>
        <w:pStyle w:val="Compact"/>
      </w:pPr>
      <w:r>
        <w:t xml:space="preserve">usuwanie cząsteczek przez szybkie przechodzzenie powietrza ponad małżowinami</w:t>
      </w:r>
    </w:p>
    <w:p>
      <w:pPr>
        <w:numPr>
          <w:ilvl w:val="1"/>
          <w:numId w:val="1007"/>
        </w:numPr>
        <w:pStyle w:val="Compact"/>
      </w:pPr>
      <w:r>
        <w:t xml:space="preserve">(ZDJĘCIE)</w:t>
      </w:r>
    </w:p>
    <w:p>
      <w:pPr>
        <w:pStyle w:val="FirstParagraph"/>
      </w:pPr>
      <w:r>
        <w:t xml:space="preserve">miejsce zakażenia i rodzaj patogenu decydują, który z rodzajów odpowiedzi immunologicznej będzie skuteczny</w:t>
      </w:r>
    </w:p>
    <w:p>
      <w:pPr>
        <w:pStyle w:val="BodyText"/>
      </w:pPr>
      <w:r>
        <w:t xml:space="preserve">wszystkie wirusy, niektóre bakterie i pierwotniaki mnożą się wewnątrz komórek gospodarza, zatem żeby zlikwidować zakażenie, układ immunologiczny musi zniszczyć zakażone komórki</w:t>
      </w:r>
    </w:p>
    <w:p>
      <w:pPr>
        <w:pStyle w:val="BodyText"/>
      </w:pPr>
      <w:r>
        <w:t xml:space="preserve">fagocytoza</w:t>
      </w:r>
      <w:r>
        <w:br/>
      </w:r>
      <w:r>
        <w:rPr>
          <w:bCs/>
          <w:b/>
        </w:rPr>
        <w:t xml:space="preserve">pinocytoza</w:t>
      </w:r>
      <w:r>
        <w:t xml:space="preserve"> </w:t>
      </w:r>
      <w:r>
        <w:t xml:space="preserve">- rodzaj endocytozy</w:t>
      </w:r>
    </w:p>
    <w:p>
      <w:pPr>
        <w:numPr>
          <w:ilvl w:val="0"/>
          <w:numId w:val="1008"/>
        </w:numPr>
        <w:pStyle w:val="Compact"/>
      </w:pPr>
      <w:r>
        <w:t xml:space="preserve">pobieranie ze środowiska płynu z rozpuszczonymi w nim substancjami pokarmowymi</w:t>
      </w:r>
    </w:p>
    <w:p>
      <w:pPr>
        <w:numPr>
          <w:ilvl w:val="0"/>
          <w:numId w:val="1008"/>
        </w:numPr>
        <w:pStyle w:val="Compact"/>
      </w:pPr>
      <w:r>
        <w:t xml:space="preserve">wskutek działania kompleksów klatryny dochodzi do wpuklenia błony komórkowej, wskutek czego powstają kanaliki pinocytarne, z których każdy zakończony jest pęcherzykiem pinocytarnym</w:t>
      </w:r>
    </w:p>
    <w:p>
      <w:pPr>
        <w:numPr>
          <w:ilvl w:val="0"/>
          <w:numId w:val="1008"/>
        </w:numPr>
        <w:pStyle w:val="Compact"/>
      </w:pPr>
      <w:r>
        <w:t xml:space="preserve">pęcherzyk odrywa się od błony i przemieszcza się w głąb cytoplazmy, a następnie w całości trawione (włącznie z błoną) przy udziale lizosomów</w:t>
      </w:r>
    </w:p>
    <w:p>
      <w:pPr>
        <w:pStyle w:val="FirstParagraph"/>
      </w:pPr>
      <w:r>
        <w:rPr>
          <w:bCs/>
          <w:b/>
        </w:rPr>
        <w:t xml:space="preserve">endocytoza</w:t>
      </w:r>
      <w:r>
        <w:t xml:space="preserve"> </w:t>
      </w:r>
      <w:r>
        <w:t xml:space="preserve">zależna od receptora jest rodzajem endocytozy, w której białka receptorowe na powierzchni komórki są wykorzystywane do wychwytywania określonej cząsteczki docelowej; nazwa ta pochodzi od warstwy białek zwanych białkami płaszcza, które znajdują się po cytoplazmatycznej stronie dołu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11.10</dc:title>
  <dc:creator/>
  <cp:keywords/>
  <dcterms:created xsi:type="dcterms:W3CDTF">2022-10-25T12:12:00Z</dcterms:created>
  <dcterms:modified xsi:type="dcterms:W3CDTF">2022-10-25T12:12:00Z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