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25.10</w:t>
      </w:r>
    </w:p>
    <w:bookmarkStart w:id="20" w:name="antygeny"/>
    <w:p>
      <w:pPr>
        <w:pStyle w:val="Heading3"/>
      </w:pPr>
      <w:r>
        <w:t xml:space="preserve">antygeny</w:t>
      </w:r>
    </w:p>
    <w:p>
      <w:pPr>
        <w:pStyle w:val="FirstParagraph"/>
      </w:pPr>
      <w:r>
        <w:t xml:space="preserve">struktury, których fragmenty (określane jako determinanty antygenowe [epitopy]); są rozpoznawane przez swoiste</w:t>
      </w:r>
      <w:r>
        <w:t xml:space="preserve"> </w:t>
      </w:r>
      <w:r>
        <w:rPr>
          <w:bCs/>
          <w:b/>
        </w:rPr>
        <w:t xml:space="preserve">receptory</w:t>
      </w:r>
      <w:r>
        <w:t xml:space="preserve"> </w:t>
      </w:r>
      <w:r>
        <w:t xml:space="preserve">znajdujące się na limfocytach T i B, a także przez przeciwciała</w:t>
      </w:r>
    </w:p>
    <w:p>
      <w:pPr>
        <w:pStyle w:val="BodyText"/>
      </w:pPr>
      <w:r>
        <w:t xml:space="preserve">niejednokrotnie pojęcia "antygen" używa się również w odniesieniu do całych komórek oraz struktur rozpoznawanych ptrzez receptory odporności wrodzonej</w:t>
      </w:r>
    </w:p>
    <w:bookmarkEnd w:id="20"/>
    <w:bookmarkStart w:id="23" w:name="Xf8ca4ec91818cb2b63eec1c8162d34b5b8d6d43"/>
    <w:p>
      <w:pPr>
        <w:pStyle w:val="Heading3"/>
      </w:pPr>
      <w:r>
        <w:t xml:space="preserve">odporność jest wynikiem wspólnego działania mechanizmów odporności wrodzonej i nabytej</w:t>
      </w:r>
    </w:p>
    <w:bookmarkStart w:id="21" w:name="odporność-wrodzona-nieswoista"/>
    <w:p>
      <w:pPr>
        <w:pStyle w:val="Heading4"/>
      </w:pPr>
      <w:r>
        <w:t xml:space="preserve">odporność wrodzona (nieswoista)</w:t>
      </w:r>
    </w:p>
    <w:p>
      <w:pPr>
        <w:pStyle w:val="FirstParagraph"/>
      </w:pPr>
      <w:r>
        <w:t xml:space="preserve">obejmuje mechanizmy, które dzałają przy każdorazowym kontakcie z czynnikiem chorobotwórczym i uruchamiają ostrą reakcję zapalną hamującą wnikanie szkodliwych czynników (np. drobnoustrojów chorobotwórczych) do organizmu lub prowadzącą do ich zniszczenia; mechanizmy te działają</w:t>
      </w:r>
      <w:r>
        <w:t xml:space="preserve"> </w:t>
      </w:r>
      <w:r>
        <w:rPr>
          <w:bCs/>
          <w:b/>
        </w:rPr>
        <w:t xml:space="preserve">szybko</w:t>
      </w:r>
      <w:r>
        <w:t xml:space="preserve">, aczkolwiek</w:t>
      </w:r>
      <w:r>
        <w:t xml:space="preserve"> </w:t>
      </w:r>
      <w:r>
        <w:rPr>
          <w:bCs/>
          <w:b/>
        </w:rPr>
        <w:t xml:space="preserve">mało precyzyjnie</w:t>
      </w:r>
    </w:p>
    <w:p>
      <w:pPr>
        <w:pStyle w:val="BodyText"/>
      </w:pPr>
      <w:r>
        <w:t xml:space="preserve">wykrywanie i rozpoznawanie obcych struktur (antygenów) umożliwiają receptory rozpoznające wzorce (ang. pattern-recognising receptors - PRR) obecne na komórkach odporności wrodzonej:</w:t>
      </w:r>
    </w:p>
    <w:p>
      <w:pPr>
        <w:numPr>
          <w:ilvl w:val="0"/>
          <w:numId w:val="1001"/>
        </w:numPr>
        <w:pStyle w:val="Compact"/>
      </w:pPr>
      <w:r>
        <w:t xml:space="preserve">neutrofile</w:t>
      </w:r>
    </w:p>
    <w:p>
      <w:pPr>
        <w:numPr>
          <w:ilvl w:val="0"/>
          <w:numId w:val="1001"/>
        </w:numPr>
        <w:pStyle w:val="Compact"/>
      </w:pPr>
      <w:r>
        <w:t xml:space="preserve">monocyty</w:t>
      </w:r>
    </w:p>
    <w:p>
      <w:pPr>
        <w:numPr>
          <w:ilvl w:val="0"/>
          <w:numId w:val="1001"/>
        </w:numPr>
        <w:pStyle w:val="Compact"/>
      </w:pPr>
      <w:r>
        <w:t xml:space="preserve">makrofagi</w:t>
      </w:r>
    </w:p>
    <w:p>
      <w:pPr>
        <w:numPr>
          <w:ilvl w:val="0"/>
          <w:numId w:val="1001"/>
        </w:numPr>
        <w:pStyle w:val="Compact"/>
      </w:pPr>
      <w:r>
        <w:t xml:space="preserve">komórki dendrytyczne</w:t>
      </w:r>
    </w:p>
    <w:p>
      <w:pPr>
        <w:numPr>
          <w:ilvl w:val="0"/>
          <w:numId w:val="1001"/>
        </w:numPr>
        <w:pStyle w:val="Compact"/>
      </w:pPr>
      <w:r>
        <w:t xml:space="preserve">komórki NK</w:t>
      </w:r>
    </w:p>
    <w:p>
      <w:pPr>
        <w:numPr>
          <w:ilvl w:val="0"/>
          <w:numId w:val="1001"/>
        </w:numPr>
        <w:pStyle w:val="Compact"/>
      </w:pPr>
      <w:r>
        <w:t xml:space="preserve">komórki barier immunologicznych (komórki nabłonkowe, keratynocyty, śródbłonek)</w:t>
      </w:r>
    </w:p>
    <w:p>
      <w:pPr>
        <w:pStyle w:val="FirstParagraph"/>
      </w:pPr>
      <w:r>
        <w:t xml:space="preserve">PRR</w:t>
      </w:r>
      <w:r>
        <w:t xml:space="preserve"> </w:t>
      </w:r>
      <w:r>
        <w:rPr>
          <w:bCs/>
          <w:b/>
        </w:rPr>
        <w:t xml:space="preserve">rozpoznają struktury charakterystyczne dla określonej grupy drobnoustrojów</w:t>
      </w:r>
      <w:r>
        <w:t xml:space="preserve">, czyli tak zwane</w:t>
      </w:r>
      <w:r>
        <w:t xml:space="preserve"> </w:t>
      </w:r>
      <w:r>
        <w:rPr>
          <w:bCs/>
          <w:b/>
        </w:rPr>
        <w:t xml:space="preserve">wzorce molekularne</w:t>
      </w:r>
      <w:r>
        <w:t xml:space="preserve"> </w:t>
      </w:r>
      <w:r>
        <w:t xml:space="preserve">patogenów (pathogen-associated molecular patterns - PAMP), takie jak lipopolisacharydy ściany komórkowej bakterii G-, kwas tejchojowy w błonie komórkowej bakterii G+ czy mannany w otoczkach grzybów drożdżopodobnych, a także cząsteczki uwalniane przez uszkodzone komórki własne (damage-associated molecular patterns - DAMP)</w:t>
      </w:r>
    </w:p>
    <w:p>
      <w:pPr>
        <w:pStyle w:val="BodyText"/>
      </w:pPr>
      <w:r>
        <w:t xml:space="preserve">PRR</w:t>
      </w:r>
      <w:r>
        <w:t xml:space="preserve"> </w:t>
      </w:r>
      <w:r>
        <w:rPr>
          <w:bCs/>
          <w:b/>
        </w:rPr>
        <w:t xml:space="preserve">nie rozpoznają poszczególnych gatunków bądź szczepów drobnoustrojów</w:t>
      </w:r>
      <w:r>
        <w:t xml:space="preserve">, lecz umożliwiają odróżnienie prawidłowych cząsteczek własnych od obcych lub własnych zmienionych</w:t>
      </w:r>
    </w:p>
    <w:bookmarkEnd w:id="21"/>
    <w:bookmarkStart w:id="22" w:name="odporność-nabyta-swoista"/>
    <w:p>
      <w:pPr>
        <w:pStyle w:val="Heading4"/>
      </w:pPr>
      <w:r>
        <w:t xml:space="preserve">odporność nabyta (swoista)</w:t>
      </w:r>
    </w:p>
    <w:p>
      <w:pPr>
        <w:pStyle w:val="FirstParagraph"/>
      </w:pPr>
      <w:r>
        <w:t xml:space="preserve">rozwija się wolniej, ale jej dopowiedź nasila się po ponownym kontakcie z danym antygenem w związku z funkcjonowaniem tak zwanej</w:t>
      </w:r>
      <w:r>
        <w:t xml:space="preserve"> </w:t>
      </w:r>
      <w:r>
        <w:rPr>
          <w:bCs/>
          <w:b/>
        </w:rPr>
        <w:t xml:space="preserve">pamięci immunologicznej</w:t>
      </w:r>
    </w:p>
    <w:p>
      <w:pPr>
        <w:pStyle w:val="BodyText"/>
      </w:pPr>
      <w:r>
        <w:t xml:space="preserve">mechanizmy odporności nabytej umożliwiają</w:t>
      </w:r>
      <w:r>
        <w:t xml:space="preserve"> </w:t>
      </w:r>
      <w:r>
        <w:rPr>
          <w:bCs/>
          <w:b/>
        </w:rPr>
        <w:t xml:space="preserve">precyzyjne rozpoznanie antygenów</w:t>
      </w:r>
      <w:r>
        <w:t xml:space="preserve">, których struktury różnią się nawet w niewielkim stopniu; główne komórki odporności nabytej (limfocyty B i T) mają</w:t>
      </w:r>
      <w:r>
        <w:t xml:space="preserve"> </w:t>
      </w:r>
      <w:r>
        <w:rPr>
          <w:bCs/>
          <w:b/>
        </w:rPr>
        <w:t xml:space="preserve">receptory rozpoznające determinanty poszczególnych antygenów drobnoustrojów</w:t>
      </w:r>
      <w:r>
        <w:t xml:space="preserve"> </w:t>
      </w:r>
      <w:r>
        <w:t xml:space="preserve">lub nieprawidłowych komórek (np. nowotworowych)</w:t>
      </w:r>
    </w:p>
    <w:p>
      <w:pPr>
        <w:pStyle w:val="BodyText"/>
      </w:pPr>
      <w:r>
        <w:t xml:space="preserve">(receptor limfocytu Th - obrazek)</w:t>
      </w:r>
    </w:p>
    <w:p>
      <w:pPr>
        <w:pStyle w:val="BodyText"/>
      </w:pPr>
      <w:r>
        <w:t xml:space="preserve">reakcja limfocytów na kontakt z antygenem przebiega w dwóch fazach:</w:t>
      </w:r>
    </w:p>
    <w:p>
      <w:pPr>
        <w:numPr>
          <w:ilvl w:val="0"/>
          <w:numId w:val="1002"/>
        </w:numPr>
        <w:pStyle w:val="Compact"/>
      </w:pPr>
      <w:r>
        <w:t xml:space="preserve">indukcyjnej (rozpoznania antygenu i aktywacji antygenowo-swoistych limfocytów)</w:t>
      </w:r>
    </w:p>
    <w:p>
      <w:pPr>
        <w:numPr>
          <w:ilvl w:val="0"/>
          <w:numId w:val="1002"/>
        </w:numPr>
        <w:pStyle w:val="Compact"/>
      </w:pPr>
      <w:r>
        <w:t xml:space="preserve">efektorowej (eliminacji lub neutralizacji antygenu)</w:t>
      </w:r>
    </w:p>
    <w:p>
      <w:pPr>
        <w:pStyle w:val="FirstParagraph"/>
      </w:pPr>
      <w:r>
        <w:t xml:space="preserve">czynnikiem inicjującym odpowiedź immunologiczną jest ropoznanie antygenów przez limfocyty - dochodzi do stymulacji układu immunologicznego, której efektem jest odpowiedź humoralna z udziałem limfocytów B (produkcja przeciwciał) lub komórkowa z udziałem limfocytów T (aktywacja konkretnych klonów limfocytów cytotoksycznych)</w:t>
      </w:r>
    </w:p>
    <w:p>
      <w:pPr>
        <w:pStyle w:val="BodyText"/>
      </w:pPr>
      <w:r>
        <w:t xml:space="preserve">odpowiedź humoralna chroni głównie przed drobnoustrojami zewnątrzkomórkowymi (bakterie, pasożyty wielokomórkowe), natomiast komórkowa - przed drobnoustrojami wewnątrzkomórkowymi (wirusy)</w:t>
      </w:r>
    </w:p>
    <w:p>
      <w:pPr>
        <w:pStyle w:val="BodyText"/>
      </w:pPr>
      <w:r>
        <w:t xml:space="preserve">odpowiedź immunologiczna podlega regulacji przez limfocyty T regulatorowe (T reg), od których zależy jej typ, siła oraz czas trwania</w:t>
      </w:r>
    </w:p>
    <w:bookmarkEnd w:id="22"/>
    <w:bookmarkEnd w:id="23"/>
    <w:bookmarkStart w:id="25" w:name="narządy-układu-immunologicznego"/>
    <w:p>
      <w:pPr>
        <w:pStyle w:val="Heading2"/>
      </w:pPr>
      <w:r>
        <w:t xml:space="preserve">narządy układu immunologicznego</w:t>
      </w:r>
    </w:p>
    <w:p>
      <w:pPr>
        <w:pStyle w:val="FirstParagraph"/>
      </w:pPr>
      <w:r>
        <w:t xml:space="preserve">układ immunologiczny obejmuje liczne narządy o zróżnicowanej strukturze i funkcji, sieć naczyń limfatycznych i krążące komórki (leukocyty)</w:t>
      </w:r>
      <w:r>
        <w:br/>
      </w:r>
      <w:r>
        <w:t xml:space="preserve">wyróżnia się:</w:t>
      </w:r>
    </w:p>
    <w:p>
      <w:pPr>
        <w:numPr>
          <w:ilvl w:val="0"/>
          <w:numId w:val="1003"/>
        </w:numPr>
        <w:pStyle w:val="Compact"/>
      </w:pPr>
      <w:r>
        <w:t xml:space="preserve">pierwotne (centralne)</w:t>
      </w:r>
    </w:p>
    <w:p>
      <w:pPr>
        <w:numPr>
          <w:ilvl w:val="0"/>
          <w:numId w:val="1003"/>
        </w:numPr>
        <w:pStyle w:val="Compact"/>
      </w:pPr>
      <w:r>
        <w:t xml:space="preserve">wtórne (obwodowe)</w:t>
      </w:r>
      <w:r>
        <w:br/>
      </w:r>
      <w:r>
        <w:t xml:space="preserve">narządy limfatyczne</w:t>
      </w:r>
    </w:p>
    <w:p>
      <w:pPr>
        <w:pStyle w:val="FirstParagraph"/>
      </w:pPr>
      <w:r>
        <w:rPr>
          <w:bCs/>
          <w:b/>
        </w:rPr>
        <w:t xml:space="preserve">w centralnych narządach limfatycznych</w:t>
      </w:r>
      <w:r>
        <w:t xml:space="preserve">, do których zalicza się szpik kostny i grasicę, powstają i dojrzewają leukocyty</w:t>
      </w:r>
    </w:p>
    <w:p>
      <w:pPr>
        <w:pStyle w:val="BodyText"/>
      </w:pPr>
      <w:r>
        <w:rPr>
          <w:bCs/>
          <w:b/>
        </w:rPr>
        <w:t xml:space="preserve">w szpiku kostnym</w:t>
      </w:r>
      <w:r>
        <w:t xml:space="preserve"> </w:t>
      </w:r>
      <w:r>
        <w:t xml:space="preserve">zachodzi hematopoeza, obejmująca proces powstawania i dojrzewania komórek krwi (w tym wszystkich populacji leukocytów) oraz negatywną selekcję limfocytów B, których receptory immunoglobulinowe są skierowane przeciwko antygenom własnym organizmu (delecja komórek autoreaktywnych)</w:t>
      </w:r>
    </w:p>
    <w:p>
      <w:pPr>
        <w:pStyle w:val="BodyText"/>
      </w:pPr>
      <w:r>
        <w:rPr>
          <w:bCs/>
          <w:b/>
        </w:rPr>
        <w:t xml:space="preserve">grasica</w:t>
      </w:r>
      <w:r>
        <w:t xml:space="preserve"> </w:t>
      </w:r>
      <w:r>
        <w:t xml:space="preserve">(umiejscowiona w śródpiersiu) jest odpowiedzialna za kontrolowane dojrzewanie limfocytów T i eliminację ich autoreaktywnych klonów; pozostałe immunokompetentne limfocyty T są uwalniane do układu krążenia i osiedlają się w obwodowych narządach limfatycznych</w:t>
      </w:r>
    </w:p>
    <w:p>
      <w:pPr>
        <w:pStyle w:val="BodyText"/>
      </w:pPr>
      <w:r>
        <w:t xml:space="preserve">obwodowe narządy limfatyczne, do których zalicza się:</w:t>
      </w:r>
    </w:p>
    <w:p>
      <w:pPr>
        <w:numPr>
          <w:ilvl w:val="0"/>
          <w:numId w:val="1004"/>
        </w:numPr>
        <w:pStyle w:val="Compact"/>
      </w:pPr>
      <w:r>
        <w:t xml:space="preserve">węzły chłonne</w:t>
      </w:r>
    </w:p>
    <w:p>
      <w:pPr>
        <w:numPr>
          <w:ilvl w:val="0"/>
          <w:numId w:val="1004"/>
        </w:numPr>
        <w:pStyle w:val="Compact"/>
      </w:pPr>
      <w:r>
        <w:t xml:space="preserve">śledzionę</w:t>
      </w:r>
    </w:p>
    <w:p>
      <w:pPr>
        <w:numPr>
          <w:ilvl w:val="0"/>
          <w:numId w:val="1004"/>
        </w:numPr>
        <w:pStyle w:val="Compact"/>
      </w:pPr>
      <w:r>
        <w:t xml:space="preserve">migdałki</w:t>
      </w:r>
    </w:p>
    <w:p>
      <w:pPr>
        <w:numPr>
          <w:ilvl w:val="0"/>
          <w:numId w:val="1004"/>
        </w:numPr>
        <w:pStyle w:val="Compact"/>
      </w:pPr>
      <w:r>
        <w:t xml:space="preserve">MALT - tkanka limfatyczna błon śluzowych przewodu pokarmowego i gruczołów wydzielania zewnętrznego (mucosa-associated lymphoid tissue)</w:t>
      </w:r>
    </w:p>
    <w:p>
      <w:pPr>
        <w:numPr>
          <w:ilvl w:val="0"/>
          <w:numId w:val="1004"/>
        </w:numPr>
        <w:pStyle w:val="Compact"/>
      </w:pPr>
      <w:r>
        <w:t xml:space="preserve">BALT - dróg oddechowych</w:t>
      </w:r>
    </w:p>
    <w:p>
      <w:pPr>
        <w:numPr>
          <w:ilvl w:val="0"/>
          <w:numId w:val="1004"/>
        </w:numPr>
        <w:pStyle w:val="Compact"/>
      </w:pPr>
      <w:r>
        <w:t xml:space="preserve">SALT - skóry</w:t>
      </w:r>
      <w:r>
        <w:br/>
      </w:r>
      <w:r>
        <w:t xml:space="preserve">są odpowiedzialne za ochronę tkanek i narządów wychwytując docierające do nich antygeny</w:t>
      </w:r>
    </w:p>
    <w:bookmarkStart w:id="24" w:name="komórki-układu-immunologicznego"/>
    <w:p>
      <w:pPr>
        <w:pStyle w:val="Heading3"/>
      </w:pPr>
      <w:r>
        <w:t xml:space="preserve">komórki układu immunologicznego</w:t>
      </w:r>
    </w:p>
    <w:p>
      <w:pPr>
        <w:pStyle w:val="FirstParagraph"/>
      </w:pPr>
      <w:r>
        <w:t xml:space="preserve">głównymi komórkami układu immonologicznego są limfocyty B i T; odpowiadają one za odporność nabytą, w tym za zróżnicowanie klonalne, a także wykrycie i/lub rozpoznanie antygenów własnych i obcych</w:t>
      </w:r>
    </w:p>
    <w:p>
      <w:pPr>
        <w:pStyle w:val="BodyText"/>
      </w:pPr>
      <w:r>
        <w:t xml:space="preserve">limfocyty B są komórkami odpowiedzi typu humoralnego oraz prekursorami plazmocytów, czyli komórek produkujących przeciwciała</w:t>
      </w:r>
    </w:p>
    <w:p>
      <w:pPr>
        <w:pStyle w:val="BodyText"/>
      </w:pPr>
      <w:r>
        <w:t xml:space="preserve">limfocyty T wykazują duże zróżnicowanie funkcjonalne; do ich najważniejszych subpopulacji należą:</w:t>
      </w:r>
    </w:p>
    <w:p>
      <w:pPr>
        <w:numPr>
          <w:ilvl w:val="0"/>
          <w:numId w:val="1005"/>
        </w:numPr>
        <w:pStyle w:val="Compact"/>
      </w:pPr>
      <w:r>
        <w:t xml:space="preserve">limfocyty T pomocnicze CD4+ (Th)</w:t>
      </w:r>
    </w:p>
    <w:p>
      <w:pPr>
        <w:numPr>
          <w:ilvl w:val="0"/>
          <w:numId w:val="1005"/>
        </w:numPr>
        <w:pStyle w:val="Compact"/>
      </w:pPr>
      <w:r>
        <w:t xml:space="preserve">limfocyty T cytotoksyczne CD8+</w:t>
      </w:r>
    </w:p>
    <w:p>
      <w:pPr>
        <w:numPr>
          <w:ilvl w:val="0"/>
          <w:numId w:val="1005"/>
        </w:numPr>
        <w:pStyle w:val="Compact"/>
      </w:pPr>
      <w:r>
        <w:t xml:space="preserve">limfocyty T regulatorowe (Treg)</w:t>
      </w:r>
    </w:p>
    <w:bookmarkEnd w:id="24"/>
    <w:bookmarkEnd w:id="25"/>
    <w:bookmarkStart w:id="27" w:name="zapalenie-reakcja-zapalna"/>
    <w:p>
      <w:pPr>
        <w:pStyle w:val="Heading2"/>
      </w:pPr>
      <w:r>
        <w:t xml:space="preserve">zapalenie, reakcja zapalna</w:t>
      </w:r>
    </w:p>
    <w:p>
      <w:pPr>
        <w:pStyle w:val="FirstParagraph"/>
      </w:pPr>
      <w:r>
        <w:t xml:space="preserve">złożony, nieswoisty proces obronny rozwijający się w tkance w odpowiedzi na szkodliwy czynnik</w:t>
      </w:r>
    </w:p>
    <w:p>
      <w:pPr>
        <w:pStyle w:val="BodyText"/>
      </w:pPr>
      <w:r>
        <w:t xml:space="preserve">zapalenie może być spowodowane czynnikami:</w:t>
      </w:r>
    </w:p>
    <w:p>
      <w:pPr>
        <w:numPr>
          <w:ilvl w:val="0"/>
          <w:numId w:val="1006"/>
        </w:numPr>
        <w:pStyle w:val="Compact"/>
      </w:pPr>
      <w:r>
        <w:t xml:space="preserve">chemicznymi</w:t>
      </w:r>
    </w:p>
    <w:p>
      <w:pPr>
        <w:numPr>
          <w:ilvl w:val="0"/>
          <w:numId w:val="1006"/>
        </w:numPr>
        <w:pStyle w:val="Compact"/>
      </w:pPr>
      <w:r>
        <w:t xml:space="preserve">fizycznymi</w:t>
      </w:r>
    </w:p>
    <w:p>
      <w:pPr>
        <w:numPr>
          <w:ilvl w:val="0"/>
          <w:numId w:val="1006"/>
        </w:numPr>
        <w:pStyle w:val="Compact"/>
      </w:pPr>
      <w:r>
        <w:t xml:space="preserve">biologicznymi (zakażenie drobnoustrojami chorobotwórczymi) - ogólnie czynnikami egzogennymi lub endogennymi</w:t>
      </w:r>
    </w:p>
    <w:p>
      <w:pPr>
        <w:pStyle w:val="FirstParagraph"/>
      </w:pPr>
      <w:r>
        <w:t xml:space="preserve">u podłoża reakcji zapalnej są zmiany w naczyniach krwionośnych; dochodzi do:</w:t>
      </w:r>
    </w:p>
    <w:p>
      <w:pPr>
        <w:numPr>
          <w:ilvl w:val="0"/>
          <w:numId w:val="1007"/>
        </w:numPr>
        <w:pStyle w:val="Compact"/>
      </w:pPr>
      <w:r>
        <w:t xml:space="preserve">rozszerzenia naczyń</w:t>
      </w:r>
    </w:p>
    <w:p>
      <w:pPr>
        <w:numPr>
          <w:ilvl w:val="0"/>
          <w:numId w:val="1007"/>
        </w:numPr>
        <w:pStyle w:val="Compact"/>
      </w:pPr>
      <w:r>
        <w:t xml:space="preserve">zwiększenia ukrwienia tkanki</w:t>
      </w:r>
    </w:p>
    <w:p>
      <w:pPr>
        <w:numPr>
          <w:ilvl w:val="0"/>
          <w:numId w:val="1007"/>
        </w:numPr>
        <w:pStyle w:val="Compact"/>
      </w:pPr>
      <w:r>
        <w:t xml:space="preserve">zwiększenia przepuszczalności naczyń</w:t>
      </w:r>
      <w:r>
        <w:br/>
      </w:r>
      <w:r>
        <w:t xml:space="preserve">dzięki czemu do zaatakowanej tkanki mogą przedostawać się różne białka osocza, pełniące funkcje obronne, np. przeciwciała lub dopełniacz</w:t>
      </w:r>
    </w:p>
    <w:p>
      <w:pPr>
        <w:pStyle w:val="FirstParagraph"/>
      </w:pPr>
      <w:r>
        <w:t xml:space="preserve">niezależnie od tego ścisłego znaczenia, nazwa</w:t>
      </w:r>
      <w:r>
        <w:t xml:space="preserve"> </w:t>
      </w:r>
      <w:r>
        <w:rPr>
          <w:iCs/>
          <w:i/>
        </w:rPr>
        <w:t xml:space="preserve">zapalenie</w:t>
      </w:r>
      <w:r>
        <w:t xml:space="preserve"> </w:t>
      </w:r>
      <w:r>
        <w:t xml:space="preserve">odnosi się również do zespołu obajwów np.</w:t>
      </w:r>
    </w:p>
    <w:p>
      <w:pPr>
        <w:numPr>
          <w:ilvl w:val="0"/>
          <w:numId w:val="1008"/>
        </w:numPr>
        <w:pStyle w:val="Compact"/>
      </w:pPr>
      <w:r>
        <w:t xml:space="preserve">zaczerwienienie</w:t>
      </w:r>
    </w:p>
    <w:p>
      <w:pPr>
        <w:numPr>
          <w:ilvl w:val="0"/>
          <w:numId w:val="1008"/>
        </w:numPr>
        <w:pStyle w:val="Compact"/>
      </w:pPr>
      <w:r>
        <w:t xml:space="preserve">ból</w:t>
      </w:r>
      <w:r>
        <w:br/>
      </w:r>
      <w:r>
        <w:t xml:space="preserve">które towarzyszą wymienionym procesom</w:t>
      </w:r>
    </w:p>
    <w:p>
      <w:pPr>
        <w:pStyle w:val="FirstParagraph"/>
      </w:pPr>
      <w:r>
        <w:t xml:space="preserve">celem zapalenia jest szybkie i selektywne zgromadzenie komórek zdolnych do usunięcia danego czynnika szkodliwego i rozpoczęcie naprawy powstałego uszkodzenia</w:t>
      </w:r>
    </w:p>
    <w:p>
      <w:pPr>
        <w:pStyle w:val="BodyText"/>
      </w:pPr>
      <w:r>
        <w:t xml:space="preserve">w terminologii łacińskiej stosuje się nazwy</w:t>
      </w:r>
      <w:r>
        <w:t xml:space="preserve"> </w:t>
      </w:r>
      <w:r>
        <w:rPr>
          <w:iCs/>
          <w:i/>
        </w:rPr>
        <w:t xml:space="preserve">inflammatio</w:t>
      </w:r>
      <w:r>
        <w:t xml:space="preserve"> </w:t>
      </w:r>
      <w:r>
        <w:t xml:space="preserve">lub</w:t>
      </w:r>
      <w:r>
        <w:t xml:space="preserve"> </w:t>
      </w:r>
      <w:r>
        <w:rPr>
          <w:iCs/>
          <w:i/>
        </w:rPr>
        <w:t xml:space="preserve">phlegmasia</w:t>
      </w:r>
      <w:r>
        <w:br/>
      </w:r>
      <w:r>
        <w:t xml:space="preserve">częściej do nazwy narzrądu lub tkanki zajętego stanem zapalnym dodaje się przyrostek</w:t>
      </w:r>
      <w:r>
        <w:t xml:space="preserve"> </w:t>
      </w:r>
      <w:r>
        <w:rPr>
          <w:iCs/>
          <w:i/>
        </w:rPr>
        <w:t xml:space="preserve">-itis</w:t>
      </w:r>
      <w:r>
        <w:t xml:space="preserve">; np.</w:t>
      </w:r>
      <w:r>
        <w:t xml:space="preserve"> </w:t>
      </w:r>
      <w:r>
        <w:rPr>
          <w:iCs/>
          <w:i/>
        </w:rPr>
        <w:t xml:space="preserve">coniunctivitis, stomatitis, proctitis, mastitis, endometritis</w:t>
      </w:r>
    </w:p>
    <w:bookmarkStart w:id="26" w:name="podstawowe-etapy-reakcji-zapalnej"/>
    <w:p>
      <w:pPr>
        <w:pStyle w:val="Heading4"/>
      </w:pPr>
      <w:r>
        <w:t xml:space="preserve">podstawowe etapy reakcji zapalnej</w:t>
      </w:r>
    </w:p>
    <w:p>
      <w:pPr>
        <w:numPr>
          <w:ilvl w:val="0"/>
          <w:numId w:val="1009"/>
        </w:numPr>
        <w:pStyle w:val="Compact"/>
      </w:pPr>
      <w:r>
        <w:t xml:space="preserve">każda reakcja zapalna zachodzi w kilku krokach, które w sensie ogólnym są takie same, zaś dzięki pewnym różnicom obserwowane efekty mogą być zupełnie odmienne</w:t>
      </w:r>
    </w:p>
    <w:p>
      <w:pPr>
        <w:numPr>
          <w:ilvl w:val="0"/>
          <w:numId w:val="1009"/>
        </w:numPr>
        <w:pStyle w:val="Compact"/>
      </w:pPr>
      <w:r>
        <w:t xml:space="preserve">te różnice dotyczą głównie zestawu białek, które na każdym z etapów odgrywają zasadniczą rolę</w:t>
      </w:r>
    </w:p>
    <w:p>
      <w:pPr>
        <w:numPr>
          <w:ilvl w:val="0"/>
          <w:numId w:val="1009"/>
        </w:numPr>
        <w:pStyle w:val="Compact"/>
      </w:pPr>
      <w:r>
        <w:t xml:space="preserve">mamy bowiem do czynienia z określonymi "rodzinami białek", których przedstawiciele mogą między sobą różnić się dosyć subtelnymi szczegółami, ale mającymi niebagatelny wpływ na całość; ogólnie w przebiegu zapalenia mozna wyróżnić następujące etapy: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25.10</dc:title>
  <dc:creator/>
  <cp:keywords/>
  <dcterms:created xsi:type="dcterms:W3CDTF">2022-10-25T12:12:07Z</dcterms:created>
  <dcterms:modified xsi:type="dcterms:W3CDTF">2022-10-25T12:12:07Z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