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charts/chart1.xml" ContentType="application/vnd.openxmlformats-officedocument.drawingml.chart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Julianna Wisz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Biokosmetologia gr. 3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  <w:t>Toksykologia</w:t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sz w:val="24"/>
          <w:szCs w:val="24"/>
        </w:rPr>
      </w:r>
    </w:p>
    <w:p>
      <w:pPr>
        <w:pStyle w:val="Normal"/>
        <w:bidi w:val="0"/>
        <w:jc w:val="center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  <w:t>Oznaczanie zawartości d-pantenolu w produktach kosmetycznych metodą spektrofotometryczną</w:t>
      </w:r>
    </w:p>
    <w:p>
      <w:pPr>
        <w:pStyle w:val="Normal"/>
        <w:bidi w:val="0"/>
        <w:jc w:val="center"/>
        <w:rPr>
          <w:rFonts w:ascii="Arial" w:hAnsi="Arial"/>
          <w:b/>
          <w:bCs/>
          <w:sz w:val="24"/>
          <w:szCs w:val="24"/>
        </w:rPr>
      </w:pPr>
      <w:r>
        <w:rPr>
          <w:rFonts w:ascii="Arial" w:hAnsi="Arial"/>
          <w:b/>
          <w:bCs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  <w:t>Zagadnienia:</w:t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  <w:u w:val="single"/>
        </w:rPr>
      </w:pPr>
      <w:r>
        <w:rPr>
          <w:rFonts w:ascii="Arial" w:hAnsi="Arial"/>
          <w:i w:val="false"/>
          <w:iCs w:val="false"/>
          <w:sz w:val="24"/>
          <w:szCs w:val="24"/>
          <w:u w:val="single"/>
        </w:rPr>
        <w:t>Budowa i funkcje witamin z grup B</w:t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 xml:space="preserve">witamina B1, tiamina - </w:t>
      </w:r>
      <w:r>
        <w:rPr>
          <w:rFonts w:ascii="Arial" w:hAnsi="Arial"/>
          <w:b w:val="false"/>
          <w:i w:val="false"/>
          <w:iCs w:val="false"/>
          <w:caps w:val="false"/>
          <w:smallCaps w:val="false"/>
          <w:color w:val="202122"/>
          <w:spacing w:val="0"/>
          <w:sz w:val="24"/>
          <w:szCs w:val="24"/>
        </w:rPr>
        <w:t xml:space="preserve"> heterocykliczny związek chemiczny, złożony z pierścieni tiazolowego i pirymidynowego, połączonych mostkiem metylenowym. Jej aktywna forma bierze udział w oddychaniu komórkowym, wpływa na metabolizm węglowodanów, warunkuje właściwe funkcjonowanie tkanki nerwowej, przewodu pokarmowego i układu krążenia.</w:t>
      </w:r>
    </w:p>
    <w:p>
      <w:pPr>
        <w:pStyle w:val="Normal"/>
        <w:bidi w:val="0"/>
        <w:jc w:val="left"/>
        <w:rPr>
          <w:b w:val="false"/>
          <w:caps w:val="false"/>
          <w:smallCaps w:val="false"/>
          <w:color w:val="202122"/>
          <w:spacing w:val="0"/>
        </w:rPr>
      </w:pPr>
      <w:r>
        <w:rPr>
          <w:b w:val="false"/>
          <w:caps w:val="false"/>
          <w:smallCaps w:val="false"/>
          <w:color w:val="202122"/>
          <w:spacing w:val="0"/>
        </w:rPr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i w:val="false"/>
          <w:iCs w:val="false"/>
          <w:caps w:val="false"/>
          <w:smallCaps w:val="false"/>
          <w:color w:val="202122"/>
          <w:spacing w:val="0"/>
          <w:sz w:val="24"/>
          <w:szCs w:val="24"/>
        </w:rPr>
        <w:t>Witamina B2, ryboflawina, E101 – połączenie rybitolu i flawiny. Stymuluje wzrost i ogólną odporność organizmu. Składnik koenzymów uczestniczących w oddychaniu komórkowym. Wpływa na metabolizm węglowodanów, aminokwasów i tłuszczów. Bierze udział w syntezie hemoglobiny. Wspomaga regenerację skóry.</w:t>
      </w:r>
    </w:p>
    <w:p>
      <w:pPr>
        <w:pStyle w:val="Normal"/>
        <w:bidi w:val="0"/>
        <w:jc w:val="left"/>
        <w:rPr>
          <w:b w:val="false"/>
          <w:caps w:val="false"/>
          <w:smallCaps w:val="false"/>
          <w:color w:val="202122"/>
          <w:spacing w:val="0"/>
        </w:rPr>
      </w:pPr>
      <w:r>
        <w:rPr>
          <w:b w:val="false"/>
          <w:caps w:val="false"/>
          <w:smallCaps w:val="false"/>
          <w:color w:val="202122"/>
          <w:spacing w:val="0"/>
        </w:rPr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i w:val="false"/>
          <w:iCs w:val="false"/>
          <w:caps w:val="false"/>
          <w:smallCaps w:val="false"/>
          <w:color w:val="202122"/>
          <w:spacing w:val="0"/>
          <w:sz w:val="24"/>
          <w:szCs w:val="24"/>
        </w:rPr>
        <w:t>Witamina B3, witamina PP - wspólna nazwa na określenie dwóch związków: kwasu nikotynowego (niacyny, czyli kwasu 3-pirydynokarboksylowego, pochodnej pirydyny) i jego amidu (nikotynamidu). Składnik układu koenzymów NAD+/NADH, NADP+/NADPH przenoszących wodór i elektrony w procesie oddychania komórkowego. Utrzymuje we właściwym stanie nabłonek skóry i przewodu pokarmowego oraz układ nerwowy. Obniża poziom cholesterolu we krwi, rozszerza naczynia krwionośne, a także pomaga spalać węglowodany, tłuszcze i białka.</w:t>
      </w:r>
    </w:p>
    <w:p>
      <w:pPr>
        <w:pStyle w:val="Normal"/>
        <w:bidi w:val="0"/>
        <w:jc w:val="left"/>
        <w:rPr>
          <w:b w:val="false"/>
          <w:caps w:val="false"/>
          <w:smallCaps w:val="false"/>
          <w:color w:val="202122"/>
          <w:spacing w:val="0"/>
        </w:rPr>
      </w:pPr>
      <w:r>
        <w:rPr>
          <w:b w:val="false"/>
          <w:caps w:val="false"/>
          <w:smallCaps w:val="false"/>
          <w:color w:val="202122"/>
          <w:spacing w:val="0"/>
        </w:rPr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i w:val="false"/>
          <w:iCs w:val="false"/>
          <w:caps w:val="false"/>
          <w:smallCaps w:val="false"/>
          <w:color w:val="202122"/>
          <w:spacing w:val="0"/>
          <w:sz w:val="24"/>
          <w:szCs w:val="24"/>
        </w:rPr>
        <w:t>Witamina B5, kwas pantotenowy – amid kwasu pantoinowego i ß-alaniny. Składnik koenzymu A, biorącego udział w metabolizmie węglowodanów, tłuszczów i białek oraz w przenoszeniu energii. Utrzymuje w prawidłowym stanie tkankę nerwową i skórę. Łagodzi stany zapalne. Bierze udział w syntezie kortykosteroidów. Poprawia wzrost i pigmentację włosów. Zapobiega przedwczesnemu starzeniu się i powstawaniu zmarszczek.</w:t>
      </w:r>
    </w:p>
    <w:p>
      <w:pPr>
        <w:pStyle w:val="Normal"/>
        <w:bidi w:val="0"/>
        <w:jc w:val="left"/>
        <w:rPr>
          <w:b w:val="false"/>
          <w:caps w:val="false"/>
          <w:smallCaps w:val="false"/>
          <w:color w:val="202122"/>
          <w:spacing w:val="0"/>
        </w:rPr>
      </w:pPr>
      <w:r>
        <w:rPr>
          <w:b w:val="false"/>
          <w:caps w:val="false"/>
          <w:smallCaps w:val="false"/>
          <w:color w:val="202122"/>
          <w:spacing w:val="0"/>
        </w:rPr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i w:val="false"/>
          <w:iCs w:val="false"/>
          <w:caps w:val="false"/>
          <w:smallCaps w:val="false"/>
          <w:color w:val="202122"/>
          <w:spacing w:val="0"/>
          <w:sz w:val="24"/>
          <w:szCs w:val="24"/>
        </w:rPr>
        <w:t xml:space="preserve">Witamina B6 - </w:t>
      </w:r>
      <w:r>
        <w:rPr>
          <w:rFonts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202122"/>
          <w:spacing w:val="0"/>
          <w:sz w:val="24"/>
          <w:szCs w:val="24"/>
          <w:u w:val="none"/>
          <w:effect w:val="none"/>
          <w:shd w:fill="FFFFFF" w:val="clear"/>
        </w:rPr>
        <w:t>grupa 6 organicznych związków chemicznych, pochodnych pirydyny: pirydoksyny, pirydoksalu i pirydoksaminy oraz ich 5'-fosforanów. Formą aktywną biologicznie jest fosforan pirydoksalu, do którego pozostałe formy są przekształcane enzymatycznie, w wyniku działania kinaz i oksydaz. Bierze udział w krwiotworzeniu. Jest niezbędna do syntezy porfiryn (np. cytochromów, hemu), przeciwciał i erytrocytów. Stymuluje zaopatrywanie komórek nerwowych w glukozę. Jej aktywna pochodna (fosforan pirydoksalu) jest koenzymem w metabolizmie aminokwasów</w:t>
      </w:r>
    </w:p>
    <w:p>
      <w:pPr>
        <w:pStyle w:val="Normal"/>
        <w:bidi w:val="0"/>
        <w:jc w:val="left"/>
        <w:rPr>
          <w:b w:val="false"/>
          <w:caps w:val="false"/>
          <w:smallCaps w:val="false"/>
          <w:strike w:val="false"/>
          <w:dstrike w:val="false"/>
          <w:color w:val="202122"/>
          <w:spacing w:val="0"/>
          <w:u w:val="none"/>
          <w:effect w:val="none"/>
          <w:shd w:fill="FFFFFF" w:val="clear"/>
        </w:rPr>
      </w:pPr>
      <w:r>
        <w:rPr>
          <w:b w:val="false"/>
          <w:caps w:val="false"/>
          <w:smallCaps w:val="false"/>
          <w:strike w:val="false"/>
          <w:dstrike w:val="false"/>
          <w:color w:val="202122"/>
          <w:spacing w:val="0"/>
          <w:u w:val="none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202122"/>
          <w:spacing w:val="0"/>
          <w:sz w:val="24"/>
          <w:szCs w:val="24"/>
          <w:u w:val="none"/>
          <w:effect w:val="none"/>
          <w:shd w:fill="FFFFFF" w:val="clear"/>
        </w:rPr>
        <w:t>Witamina B7, witamina H, biotyna - zawiera układ skondensowanych pierścieni – imidazolidynowego oraz tiolanowego z łańcuchem alkilowym zakończonym grupą karboksylową. Grupa prostetyczna enzymów uczestniczących w glukoneogenezie oraz syntezie kwasów tłuszczowych, glikogenu, hormonów i cholesterolu. Wpływa na właściwy stan włosów, kości i skóry (chroni ją przed łojotokiem).</w:t>
      </w:r>
    </w:p>
    <w:p>
      <w:pPr>
        <w:pStyle w:val="Normal"/>
        <w:bidi w:val="0"/>
        <w:jc w:val="left"/>
        <w:rPr>
          <w:b w:val="false"/>
          <w:caps w:val="false"/>
          <w:smallCaps w:val="false"/>
          <w:strike w:val="false"/>
          <w:dstrike w:val="false"/>
          <w:color w:val="202122"/>
          <w:spacing w:val="0"/>
          <w:u w:val="none"/>
          <w:effect w:val="none"/>
          <w:shd w:fill="FFFFFF" w:val="clear"/>
        </w:rPr>
      </w:pPr>
      <w:r>
        <w:rPr>
          <w:b w:val="false"/>
          <w:caps w:val="false"/>
          <w:smallCaps w:val="false"/>
          <w:strike w:val="false"/>
          <w:dstrike w:val="false"/>
          <w:color w:val="202122"/>
          <w:spacing w:val="0"/>
          <w:u w:val="none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202122"/>
          <w:spacing w:val="0"/>
          <w:sz w:val="24"/>
          <w:szCs w:val="24"/>
          <w:u w:val="none"/>
          <w:effect w:val="none"/>
          <w:shd w:fill="FFFFFF" w:val="clear"/>
        </w:rPr>
        <w:t>Witamina B9, kwas foliowy, folacyna - zbudowany jest z kwasu p-aminobenzoesowego,</w:t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202122"/>
          <w:spacing w:val="0"/>
          <w:sz w:val="24"/>
          <w:szCs w:val="24"/>
          <w:u w:val="none"/>
          <w:effect w:val="none"/>
          <w:shd w:fill="FFFFFF" w:val="clear"/>
        </w:rPr>
        <w:t>kwasu glutaminowego i zasady pterydynowej. Cała grupa folianów, do której zalicza się kwas</w:t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202122"/>
          <w:spacing w:val="0"/>
          <w:sz w:val="24"/>
          <w:szCs w:val="24"/>
          <w:u w:val="none"/>
          <w:effect w:val="none"/>
          <w:shd w:fill="FFFFFF" w:val="clear"/>
        </w:rPr>
        <w:t>foliowy, różni się między sobą utlenowaniem pierścienia pterydyny, a także liczbą reszt kwasu</w:t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202122"/>
          <w:spacing w:val="0"/>
          <w:sz w:val="24"/>
          <w:szCs w:val="24"/>
          <w:u w:val="none"/>
          <w:effect w:val="none"/>
          <w:shd w:fill="FFFFFF" w:val="clear"/>
        </w:rPr>
        <w:t>glutaminowego – może być ich od 1 do 11. Uczestniczy w przenoszeniu i metabolizmie reszty jednowęglowej oraz w syntezie choliny, puryn i niektórych aminokwasów. Jest niezbędnym koenzymem w procesie krwiotworzenia w szpiku kostnym. Jest niezbędna do produkcji endorfin. Odpowiada za prawidłowy rozwój układu nerwowego rozwijającego się płodu. Warunkuje efektywną pracę układu odpornościowego</w:t>
      </w:r>
    </w:p>
    <w:p>
      <w:pPr>
        <w:pStyle w:val="Normal"/>
        <w:bidi w:val="0"/>
        <w:jc w:val="left"/>
        <w:rPr>
          <w:b w:val="false"/>
          <w:caps w:val="false"/>
          <w:smallCaps w:val="false"/>
          <w:strike w:val="false"/>
          <w:dstrike w:val="false"/>
          <w:color w:val="202122"/>
          <w:spacing w:val="0"/>
          <w:u w:val="none"/>
          <w:effect w:val="none"/>
          <w:shd w:fill="FFFFFF" w:val="clear"/>
        </w:rPr>
      </w:pPr>
      <w:r>
        <w:rPr>
          <w:b w:val="false"/>
          <w:caps w:val="false"/>
          <w:smallCaps w:val="false"/>
          <w:strike w:val="false"/>
          <w:dstrike w:val="false"/>
          <w:color w:val="202122"/>
          <w:spacing w:val="0"/>
          <w:u w:val="none"/>
          <w:effect w:val="none"/>
          <w:shd w:fill="FFFFFF" w:val="clear"/>
        </w:rPr>
      </w:r>
    </w:p>
    <w:p>
      <w:pPr>
        <w:pStyle w:val="Normal"/>
        <w:bidi w:val="0"/>
        <w:jc w:val="left"/>
        <w:rPr>
          <w:rFonts w:ascii="Arial" w:hAnsi="Arial"/>
          <w:sz w:val="24"/>
          <w:szCs w:val="24"/>
        </w:rPr>
      </w:pPr>
      <w:r>
        <w:rPr>
          <w:rFonts w:ascii="Arial" w:hAnsi="Arial"/>
          <w:b w:val="false"/>
          <w:i w:val="false"/>
          <w:iCs w:val="false"/>
          <w:caps w:val="false"/>
          <w:smallCaps w:val="false"/>
          <w:strike w:val="false"/>
          <w:dstrike w:val="false"/>
          <w:color w:val="202122"/>
          <w:spacing w:val="0"/>
          <w:sz w:val="24"/>
          <w:szCs w:val="24"/>
          <w:u w:val="none"/>
          <w:effect w:val="none"/>
          <w:shd w:fill="FFFFFF" w:val="clear"/>
        </w:rPr>
        <w:t xml:space="preserve">Witamina B12, kobalamina, cyjanokobalamina – związki z grupy kobalamin, </w:t>
      </w:r>
      <w:r>
        <w:rPr>
          <w:rFonts w:ascii="Arial" w:hAnsi="Arial"/>
          <w:b w:val="false"/>
          <w:caps w:val="false"/>
          <w:smallCaps w:val="false"/>
          <w:strike w:val="false"/>
          <w:dstrike w:val="false"/>
          <w:color w:val="202122"/>
          <w:spacing w:val="0"/>
          <w:sz w:val="24"/>
          <w:szCs w:val="24"/>
          <w:u w:val="none"/>
          <w:effect w:val="none"/>
          <w:shd w:fill="FFFFFF" w:val="clear"/>
        </w:rPr>
        <w:t>Cząsteczka cyjanokobalaminy składa się z czterech sprzężonych pierścieni pirolowych, tworzących pierścień makrocykliczny; W przypadku pochodnych cyjanokobalaminy mogą występować różne ligandy kowalentnie związane z atomem kobaltu nad lub pod strukturą pierścienia makrocyklicznego. Jest niezbędna w procesie krwiotworzenia w szpiku kostnym. Bierze udział w utlenianiu kwasów organicznych w komórce. Jest niezbędna w syntezie kwasów nukleinowych, węglowodanów, a także niektórych lipidów i białek.</w:t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  <w:u w:val="single"/>
        </w:rPr>
      </w:pPr>
      <w:r>
        <w:rPr>
          <w:rFonts w:ascii="Arial" w:hAnsi="Arial"/>
          <w:i w:val="false"/>
          <w:iCs w:val="false"/>
          <w:sz w:val="24"/>
          <w:szCs w:val="24"/>
          <w:u w:val="single"/>
        </w:rPr>
        <w:t>Zastosowanie witamin w kosmetykach</w:t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>witamina C – redukuje przebarwienia, poprawia elastyczność i sprężystość skóry oraz zmniejsza widoczność naczynek krwionośnych; niezbędna w prawidłowej syntezie kolagenu. Wzmacnia skórę głowy i może wpływać na ich porost.</w:t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>Witamina A – wytwarza barierę ochronną ograniczającą utratę wody, zwalcza wolne rodniki, poprawia elastyczność skóry, wygładza drobne zmarszczki, sprzyja syntezie kolagenu w skórze właściwej, wygładza skórę, zmiękcza. Delikatnie złuszcza naskórek, zmniejsza łojotok, oblokowuje zatkane pory i hamuje rozwój bakterii odpowiedzialnych za pojawianie się wyprysków.</w:t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>Witamina E – działa antyoksydacyjnie, poprawia zdolność komórek do wiązania wody, dzięki czemu podnosi poziom nawilżenia, regeneruje skórę, łagodzi podrażnienia, wzmacnia barierę ochronną i zmniejsza szkodliwy wpływ promieni UV.</w:t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>Witamina B – najczęściej wykorzystuje się witaminę B3 i B5; redukuje przebarwienia i wyrównuje koloryt, pobudza syntezę kolagenu, stymuluję produkcję ceramidów, spłyca drobne zmarszczki, redukuje wydzielanie sebum, łagodzi podrażnienia, przyspiesza gojenie się ran i oparzeń, stymuluje podział komórek i namnażanie się fibroblastów, nawilża i zmiękcza, sprzyja powstawaniu tkanki nabłonkowej, która ochrania skórę</w:t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>Witamina D – sprzyja procesom regeneracyjnym, likwiduje szary, zmęczony koloryt skóry, pozwala nadać jej blasku, zmniejsza widoczność porów, przywraca skórze elastyczność, wzmacnia naturalny proces złuszczania się naskórka.</w:t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>Witamina K – redukuje zaczerwienienia, poprawia koloryt skóry z popękanymi naczynkami, wzmacnia proces regeneracji w przypadku oparzeń słonecznych.</w:t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>Ćwiczenie laboratoryjne:</w:t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>Krzywa kalibracyjna:</w:t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>Do 5 kolb Erlenmayera ze szlifem o pojemności 50mL odmierzono kolejno 0, 1, 2, 4 i 6 mL roztworu wzorcowego d-pantenolu o stężeniu 0,25% i dodano metanol do objętości 10 mL. Do każdej kolby dodano po 2 mL CuSO4 oraz po 13 mL roztworu NaOH. Kolby umieszczono w wytrząsarce i wytrząsano przez 30 minut. Po tym czasie roztwory przesączono przez sączek karbowany. W ten sposób otrzymano wzorce d-pantenolu o stężeniach wynoszących kolejno: 0; 0,01; 0,02; 0,04; 0,06%. Zmierzono absorbancję przy długości fali 650 nm.</w:t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>Wykonanie oznaczenia:</w:t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>Bezpośrednio do kolby Erlenmayera ze szlifem o pojemności 50 mL odważono ok. 0,5 g próbki (kremu do rąk). Dodano 10 mL metanolu, umieszczono w wytrząsarce i wytrząsano przez 30 minut. Zmierzono absorbancję przy długości fali 650 nm. Z krzywej kalibracyjnej obliczono zawartość d-pantenolu w próbce.</w:t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>Wyniki:</w:t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</w:r>
    </w:p>
    <w:tbl>
      <w:tblPr>
        <w:tblW w:w="5150" w:type="dxa"/>
        <w:jc w:val="left"/>
        <w:tblInd w:w="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1310"/>
        <w:gridCol w:w="141"/>
        <w:gridCol w:w="1138"/>
        <w:gridCol w:w="1281"/>
        <w:gridCol w:w="1279"/>
      </w:tblGrid>
      <w:tr>
        <w:trPr>
          <w:trHeight w:val="256" w:hRule="atLeast"/>
        </w:trPr>
        <w:tc>
          <w:tcPr>
            <w:tcW w:w="1451" w:type="dxa"/>
            <w:gridSpan w:val="2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Stężenia (%)</w:t>
            </w:r>
          </w:p>
        </w:tc>
        <w:tc>
          <w:tcPr>
            <w:tcW w:w="2419" w:type="dxa"/>
            <w:gridSpan w:val="2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absorbancja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lef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średnio</w:t>
            </w:r>
          </w:p>
        </w:tc>
      </w:tr>
      <w:tr>
        <w:trPr>
          <w:trHeight w:val="256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</w:t>
            </w:r>
          </w:p>
        </w:tc>
        <w:tc>
          <w:tcPr>
            <w:tcW w:w="1279" w:type="dxa"/>
            <w:gridSpan w:val="2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</w:t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</w:t>
            </w:r>
          </w:p>
        </w:tc>
      </w:tr>
      <w:tr>
        <w:trPr>
          <w:trHeight w:val="256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0,01</w:t>
            </w:r>
          </w:p>
        </w:tc>
        <w:tc>
          <w:tcPr>
            <w:tcW w:w="1279" w:type="dxa"/>
            <w:gridSpan w:val="2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0,037</w:t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0,032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0,0345</w:t>
            </w:r>
          </w:p>
        </w:tc>
      </w:tr>
      <w:tr>
        <w:trPr>
          <w:trHeight w:val="256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0,02</w:t>
            </w:r>
          </w:p>
        </w:tc>
        <w:tc>
          <w:tcPr>
            <w:tcW w:w="1279" w:type="dxa"/>
            <w:gridSpan w:val="2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0,07</w:t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0,068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0,069</w:t>
            </w:r>
          </w:p>
        </w:tc>
      </w:tr>
      <w:tr>
        <w:trPr>
          <w:trHeight w:val="256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0,04</w:t>
            </w:r>
          </w:p>
        </w:tc>
        <w:tc>
          <w:tcPr>
            <w:tcW w:w="1279" w:type="dxa"/>
            <w:gridSpan w:val="2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0,091</w:t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0,17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0,1305</w:t>
            </w:r>
          </w:p>
        </w:tc>
      </w:tr>
      <w:tr>
        <w:trPr>
          <w:trHeight w:val="256" w:hRule="atLeast"/>
        </w:trPr>
        <w:tc>
          <w:tcPr>
            <w:tcW w:w="1310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0,06</w:t>
            </w:r>
          </w:p>
        </w:tc>
        <w:tc>
          <w:tcPr>
            <w:tcW w:w="1279" w:type="dxa"/>
            <w:gridSpan w:val="2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0,136</w:t>
            </w:r>
          </w:p>
        </w:tc>
        <w:tc>
          <w:tcPr>
            <w:tcW w:w="1281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0,164</w:t>
            </w:r>
          </w:p>
        </w:tc>
        <w:tc>
          <w:tcPr>
            <w:tcW w:w="1279" w:type="dxa"/>
            <w:tcBorders/>
            <w:vAlign w:val="bottom"/>
          </w:tcPr>
          <w:p>
            <w:pPr>
              <w:pStyle w:val="Normal"/>
              <w:widowControl w:val="false"/>
              <w:tabs>
                <w:tab w:val="clear" w:pos="709"/>
              </w:tabs>
              <w:bidi w:val="0"/>
              <w:jc w:val="right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sz w:val="24"/>
                <w:szCs w:val="24"/>
              </w:rPr>
              <w:t>0,15</w:t>
            </w:r>
          </w:p>
        </w:tc>
      </w:tr>
    </w:tbl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>Krzywa kalibracyjna:</w:t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/>
        <w:drawing>
          <wp:inline distT="0" distB="0" distL="0" distR="0">
            <wp:extent cx="5758815" cy="3241675"/>
            <wp:effectExtent l="0" t="0" r="0" b="0"/>
            <wp:docPr id="1" name="Obiekt1" descr="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"/>
              </a:graphicData>
            </a:graphic>
          </wp:inline>
        </w:drawing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>Obliczenia:</w:t>
        <w:br/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>0,684 = 2,569x + 0,01</w:t>
      </w:r>
    </w:p>
    <w:p>
      <w:pPr>
        <w:pStyle w:val="Normal"/>
        <w:bidi w:val="0"/>
        <w:jc w:val="left"/>
        <w:rPr>
          <w:rFonts w:ascii="Arial" w:hAnsi="Arial"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i w:val="false"/>
          <w:iCs w:val="false"/>
          <w:sz w:val="24"/>
          <w:szCs w:val="24"/>
        </w:rPr>
        <w:t>0,674 = 2,569x</w:t>
      </w:r>
    </w:p>
    <w:p>
      <w:pPr>
        <w:pStyle w:val="Normal"/>
        <w:bidi w:val="0"/>
        <w:jc w:val="left"/>
        <w:rPr>
          <w:rFonts w:ascii="Arial" w:hAnsi="Arial"/>
          <w:b/>
          <w:bCs/>
          <w:i w:val="false"/>
          <w:i w:val="false"/>
          <w:iCs w:val="false"/>
          <w:sz w:val="24"/>
          <w:szCs w:val="24"/>
        </w:rPr>
      </w:pPr>
      <w:r>
        <w:rPr>
          <w:rFonts w:ascii="Arial" w:hAnsi="Arial"/>
          <w:b/>
          <w:bCs/>
          <w:i w:val="false"/>
          <w:iCs w:val="false"/>
          <w:sz w:val="24"/>
          <w:szCs w:val="24"/>
        </w:rPr>
        <w:t>x = 0,262 (%) → zawartość d-pantenolu w badanej próbce</w:t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1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Tahoma" w:cs="Lohit Devanagari"/>
        <w:kern w:val="2"/>
        <w:sz w:val="24"/>
        <w:szCs w:val="24"/>
        <w:lang w:val="pl-P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Tahoma" w:cs="Lohit Devanagari"/>
      <w:color w:val="auto"/>
      <w:kern w:val="2"/>
      <w:sz w:val="24"/>
      <w:szCs w:val="24"/>
      <w:lang w:val="pl-PL" w:eastAsia="zh-CN" w:bidi="hi-IN"/>
    </w:rPr>
  </w:style>
  <w:style w:type="character" w:styleId="Czeinternetowe">
    <w:name w:val="Hyperlink"/>
    <w:rPr>
      <w:color w:val="000080"/>
      <w:u w:val="single"/>
    </w:rPr>
  </w:style>
  <w:style w:type="paragraph" w:styleId="Nagwek">
    <w:name w:val="Nagłówek"/>
    <w:basedOn w:val="Normal"/>
    <w:next w:val="Tretekstu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retekstu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Tretekstu"/>
    <w:pPr/>
    <w:rPr>
      <w:rFonts w:cs="Lohit Devanagari"/>
    </w:rPr>
  </w:style>
  <w:style w:type="paragraph" w:styleId="Podpi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ks">
    <w:name w:val="Indeks"/>
    <w:basedOn w:val="Normal"/>
    <w:qFormat/>
    <w:pPr>
      <w:suppressLineNumbers/>
    </w:pPr>
    <w:rPr>
      <w:rFonts w:cs="Lohit Devanagari"/>
    </w:rPr>
  </w:style>
  <w:style w:type="paragraph" w:styleId="Gwkaistopka">
    <w:name w:val="Główka i stopka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Gwka">
    <w:name w:val="Header"/>
    <w:basedOn w:val="Gwkaistopka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chart" Target="charts/chart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c:roundedCorners val="0"/>
  <c:chart>
    <c:autoTitleDeleted val="1"/>
    <c:plotArea>
      <c:scatterChart>
        <c:scatterStyle val="lineMarker"/>
        <c:varyColors val="0"/>
        <c:ser>
          <c:idx val="0"/>
          <c:order val="0"/>
          <c:tx>
            <c:strRef>
              <c:f>label 0</c:f>
              <c:strCache>
                <c:ptCount val="1"/>
                <c:pt idx="0">
                  <c:v>Kolumna D</c:v>
                </c:pt>
              </c:strCache>
            </c:strRef>
          </c:tx>
          <c:spPr>
            <a:solidFill>
              <a:srgbClr val="004586"/>
            </a:solidFill>
            <a:ln w="28800">
              <a:noFill/>
            </a:ln>
          </c:spPr>
          <c:marker>
            <c:symbol val="square"/>
            <c:size val="8"/>
            <c:spPr>
              <a:solidFill>
                <a:srgbClr val="004586"/>
              </a:solidFill>
            </c:spPr>
          </c:marker>
          <c:dPt>
            <c:idx val="2"/>
            <c:marker>
              <c:symbol val="square"/>
              <c:size val="8"/>
              <c:spPr>
                <a:solidFill>
                  <a:srgbClr val="004586"/>
                </a:solidFill>
              </c:spPr>
            </c:marker>
          </c:dPt>
          <c:dLbls>
            <c:dLbl>
              <c:idx val="2"/>
              <c:txPr>
                <a:bodyPr wrap="none"/>
                <a:lstStyle/>
                <a:p>
                  <a:pPr>
                    <a:defRPr b="0" sz="1000" spc="-1" strike="noStrike">
                      <a:solidFill>
                        <a:srgbClr val="000000"/>
                      </a:solidFill>
                      <a:latin typeface="Arial"/>
                    </a:defRPr>
                  </a:pPr>
                </a:p>
              </c:txPr>
              <c:dLblPos val="r"/>
              <c:showLegendKey val="0"/>
              <c:showVal val="0"/>
              <c:showCatName val="0"/>
              <c:showSerName val="0"/>
              <c:showPercent val="0"/>
              <c:separator> </c:separator>
            </c:dLbl>
            <c:txPr>
              <a:bodyPr wrap="none"/>
              <a:lstStyle/>
              <a:p>
                <a:pPr>
                  <a:defRPr b="0" sz="1000" spc="-1" strike="noStrike">
                    <a:solidFill>
                      <a:srgbClr val="000000"/>
                    </a:solidFill>
                    <a:latin typeface="Arial"/>
                  </a:defRPr>
                </a:pPr>
              </a:p>
            </c:txPr>
            <c:dLblPos val="r"/>
            <c:showLegendKey val="0"/>
            <c:showVal val="0"/>
            <c:showCatName val="0"/>
            <c:showSerName val="0"/>
            <c:showPercent val="0"/>
            <c:separator> </c:separator>
            <c:showLeaderLines val="1"/>
            <c:extLst>
              <c:ext xmlns:c15="http://schemas.microsoft.com/office/drawing/2012/chart" uri="{CE6537A1-D6FC-4f65-9D91-7224C49458BB}">
                <c15:showLeaderLines val="1"/>
              </c:ext>
            </c:extLst>
          </c:dLbls>
          <c:trendline>
            <c:spPr>
              <a:ln w="0">
                <a:solidFill>
                  <a:srgbClr val="004586"/>
                </a:solidFill>
              </a:ln>
            </c:spPr>
            <c:trendlineType val="linear"/>
            <c:forward val="0"/>
            <c:backward val="0"/>
            <c:dispRSqr val="1"/>
            <c:dispEq val="1"/>
          </c:trendline>
          <c:xVal>
            <c:numRef>
              <c:f>1</c:f>
              <c:numCache>
                <c:formatCode>General</c:formatCode>
                <c:ptCount val="5"/>
                <c:pt idx="0">
                  <c:v>0</c:v>
                </c:pt>
                <c:pt idx="1">
                  <c:v>0.01</c:v>
                </c:pt>
                <c:pt idx="2">
                  <c:v>0.02</c:v>
                </c:pt>
                <c:pt idx="3">
                  <c:v>0.04</c:v>
                </c:pt>
                <c:pt idx="4">
                  <c:v>0.06</c:v>
                </c:pt>
              </c:numCache>
            </c:numRef>
          </c:xVal>
          <c:yVal>
            <c:numRef>
              <c:f>0</c:f>
              <c:numCache>
                <c:formatCode>General</c:formatCode>
                <c:ptCount val="5"/>
                <c:pt idx="0">
                  <c:v>0</c:v>
                </c:pt>
                <c:pt idx="1">
                  <c:v>0.0345</c:v>
                </c:pt>
                <c:pt idx="2">
                  <c:v>0.069</c:v>
                </c:pt>
                <c:pt idx="3">
                  <c:v>0.1305</c:v>
                </c:pt>
                <c:pt idx="4">
                  <c:v>0.15</c:v>
                </c:pt>
              </c:numCache>
            </c:numRef>
          </c:yVal>
          <c:smooth val="0"/>
        </c:ser>
        <c:axId val="53293850"/>
        <c:axId val="12360083"/>
      </c:scatterChart>
      <c:valAx>
        <c:axId val="53293850"/>
        <c:scaling>
          <c:orientation val="minMax"/>
        </c:scaling>
        <c:delete val="0"/>
        <c:axPos val="b"/>
        <c:title>
          <c:tx>
            <c:rich>
              <a:bodyPr rot="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Stężenie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12360083"/>
        <c:crosses val="autoZero"/>
        <c:crossBetween val="midCat"/>
      </c:valAx>
      <c:valAx>
        <c:axId val="12360083"/>
        <c:scaling>
          <c:orientation val="minMax"/>
        </c:scaling>
        <c:delete val="0"/>
        <c:axPos val="l"/>
        <c:majorGridlines>
          <c:spPr>
            <a:ln w="0">
              <a:solidFill>
                <a:srgbClr val="b3b3b3"/>
              </a:solidFill>
            </a:ln>
          </c:spPr>
        </c:majorGridlines>
        <c:title>
          <c:tx>
            <c:rich>
              <a:bodyPr rot="-5400000"/>
              <a:lstStyle/>
              <a:p>
                <a:pPr>
                  <a:defRPr b="0" sz="900" spc="-1" strike="noStrike">
                    <a:solidFill>
                      <a:srgbClr val="000000"/>
                    </a:solidFill>
                    <a:latin typeface="Arial"/>
                  </a:defRPr>
                </a:pPr>
                <a:r>
                  <a:rPr b="0" sz="900" spc="-1" strike="noStrike">
                    <a:solidFill>
                      <a:srgbClr val="000000"/>
                    </a:solidFill>
                    <a:latin typeface="Arial"/>
                  </a:rPr>
                  <a:t>Absorbancja</a:t>
                </a:r>
              </a:p>
            </c:rich>
          </c:tx>
          <c:overlay val="0"/>
          <c:spPr>
            <a:noFill/>
            <a:ln w="0">
              <a:noFill/>
            </a:ln>
          </c:spPr>
        </c:title>
        <c:numFmt formatCode="General" sourceLinked="0"/>
        <c:majorTickMark val="out"/>
        <c:minorTickMark val="none"/>
        <c:tickLblPos val="nextTo"/>
        <c:spPr>
          <a:ln w="0">
            <a:solidFill>
              <a:srgbClr val="b3b3b3"/>
            </a:solidFill>
          </a:ln>
        </c:spPr>
        <c:txPr>
          <a:bodyPr/>
          <a:lstStyle/>
          <a:p>
            <a:pPr>
              <a:defRPr b="0" sz="1000" spc="-1" strike="noStrike">
                <a:solidFill>
                  <a:srgbClr val="000000"/>
                </a:solidFill>
                <a:latin typeface="Arial"/>
              </a:defRPr>
            </a:pPr>
          </a:p>
        </c:txPr>
        <c:crossAx val="53293850"/>
        <c:crosses val="autoZero"/>
        <c:crossBetween val="midCat"/>
      </c:valAx>
      <c:spPr>
        <a:noFill/>
        <a:ln w="0">
          <a:solidFill>
            <a:srgbClr val="b3b3b3"/>
          </a:solidFill>
        </a:ln>
      </c:spPr>
    </c:plotArea>
    <c:plotVisOnly val="1"/>
    <c:dispBlanksAs val="span"/>
  </c:chart>
  <c:spPr>
    <a:solidFill>
      <a:srgbClr val="ffffff"/>
    </a:solidFill>
    <a:ln w="0">
      <a:noFill/>
    </a:ln>
  </c:spPr>
</c:chartSpac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80</TotalTime>
  <Application>LibreOffice/7.5.3.2$Linux_X86_64 LibreOffice_project/50$Build-2</Application>
  <AppVersion>15.0000</AppVersion>
  <Pages>3</Pages>
  <Words>857</Words>
  <Characters>5792</Characters>
  <CharactersWithSpaces>6604</CharactersWithSpaces>
  <Paragraphs>59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2023-06-13T12:26:22Z</dcterms:created>
  <dc:creator/>
  <dc:description/>
  <dc:language>pl-PL</dc:language>
  <cp:lastModifiedBy/>
  <dcterms:modified xsi:type="dcterms:W3CDTF">2023-06-13T13:46:38Z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