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  <Override PartName="/word/media/rId2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wykład</w:t>
      </w:r>
      <w:r>
        <w:t xml:space="preserve"> </w:t>
      </w:r>
      <w:r>
        <w:t xml:space="preserve">4.04</w:t>
      </w:r>
    </w:p>
    <w:p>
      <w:pPr>
        <w:pStyle w:val="FirstParagraph"/>
      </w:pPr>
      <w:r>
        <w:t xml:space="preserve">Dziegieć</w:t>
      </w:r>
    </w:p>
    <w:p>
      <w:pPr>
        <w:numPr>
          <w:ilvl w:val="0"/>
          <w:numId w:val="1001"/>
        </w:numPr>
        <w:pStyle w:val="Compact"/>
      </w:pPr>
      <w:r>
        <w:t xml:space="preserve">bakteriobójczo</w:t>
      </w:r>
    </w:p>
    <w:p>
      <w:pPr>
        <w:numPr>
          <w:ilvl w:val="0"/>
          <w:numId w:val="1001"/>
        </w:numPr>
        <w:pStyle w:val="Compact"/>
      </w:pPr>
      <w:r>
        <w:t xml:space="preserve">owadobójczo</w:t>
      </w:r>
    </w:p>
    <w:p>
      <w:pPr>
        <w:numPr>
          <w:ilvl w:val="0"/>
          <w:numId w:val="1001"/>
        </w:numPr>
        <w:pStyle w:val="Compact"/>
      </w:pPr>
      <w:r>
        <w:t xml:space="preserve">drażniąco na tkanki</w:t>
      </w:r>
    </w:p>
    <w:p>
      <w:pPr>
        <w:numPr>
          <w:ilvl w:val="0"/>
          <w:numId w:val="1001"/>
        </w:numPr>
        <w:pStyle w:val="Compact"/>
      </w:pPr>
      <w:r>
        <w:t xml:space="preserve">3-5% maść 2-3 razy dziennie</w:t>
      </w:r>
    </w:p>
    <w:p>
      <w:pPr>
        <w:numPr>
          <w:ilvl w:val="0"/>
          <w:numId w:val="1001"/>
        </w:numPr>
        <w:pStyle w:val="Compact"/>
      </w:pPr>
      <w:r>
        <w:t xml:space="preserve">szampon (łuszczyca skóry owłosionej)</w:t>
      </w:r>
    </w:p>
    <w:p>
      <w:pPr>
        <w:numPr>
          <w:ilvl w:val="0"/>
          <w:numId w:val="1001"/>
        </w:numPr>
        <w:pStyle w:val="Compact"/>
      </w:pPr>
      <w:r>
        <w:t xml:space="preserve">preparaty o działaniu keratolitycznym i antyseptycznym</w:t>
      </w:r>
    </w:p>
    <w:p>
      <w:pPr>
        <w:pStyle w:val="FirstParagraph"/>
      </w:pPr>
      <w:r>
        <w:t xml:space="preserve">cygnolina</w:t>
      </w:r>
    </w:p>
    <w:p>
      <w:pPr>
        <w:numPr>
          <w:ilvl w:val="0"/>
          <w:numId w:val="1002"/>
        </w:numPr>
        <w:pStyle w:val="Compact"/>
      </w:pPr>
      <w:r>
        <w:t xml:space="preserve">leczenie miejscowe polega na zewnętrznym stosowaniu cygnoliny, kojarzonej obecnie często z fotochemoterapią lub seletywną fototerapią</w:t>
      </w:r>
    </w:p>
    <w:p>
      <w:pPr>
        <w:numPr>
          <w:ilvl w:val="0"/>
          <w:numId w:val="1002"/>
        </w:numPr>
        <w:pStyle w:val="Compact"/>
      </w:pPr>
      <w:r>
        <w:t xml:space="preserve">cygnolina - ditranol, jest organicznym związkiem chemicznym, otrzymywany z chryzarobiny obecnej w pniu drzewa</w:t>
      </w:r>
      <w:r>
        <w:t xml:space="preserve"> </w:t>
      </w:r>
      <w:r>
        <w:rPr>
          <w:iCs/>
          <w:i/>
        </w:rPr>
        <w:t xml:space="preserve">Andira araroba</w:t>
      </w:r>
    </w:p>
    <w:p>
      <w:pPr>
        <w:numPr>
          <w:ilvl w:val="0"/>
          <w:numId w:val="1002"/>
        </w:numPr>
        <w:pStyle w:val="Compact"/>
      </w:pPr>
      <w:r>
        <w:t xml:space="preserve">obecnie syntetyzowana w laboratoriach, brązowożółty lub żółty proszek, w czystej postaci żrący dla skóry</w:t>
      </w:r>
    </w:p>
    <w:p>
      <w:pPr>
        <w:numPr>
          <w:ilvl w:val="0"/>
          <w:numId w:val="1002"/>
        </w:numPr>
        <w:pStyle w:val="Compact"/>
      </w:pPr>
      <w:r>
        <w:t xml:space="preserve">maści, kremy, roztwory o stężeniu cygnoliny od 0,1% do 5%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3"/>
        </w:numPr>
        <w:pStyle w:val="Compact"/>
      </w:pPr>
      <w:r>
        <w:t xml:space="preserve">substancje pomocnicze - cynk, prodermina, kwas salicylowy czy substancje o działaniu natłuszczającym (wazelina)</w:t>
      </w:r>
    </w:p>
    <w:p>
      <w:pPr>
        <w:numPr>
          <w:ilvl w:val="0"/>
          <w:numId w:val="1002"/>
        </w:numPr>
        <w:pStyle w:val="Compact"/>
      </w:pPr>
      <w:r>
        <w:t xml:space="preserve">dodatki te wspomagają leczenie, a także pomagają zminimalizować wystąpienie skutków ubocznych cygnoliny</w:t>
      </w:r>
    </w:p>
    <w:p>
      <w:pPr>
        <w:pStyle w:val="FirstParagraph"/>
      </w:pPr>
      <w:r>
        <w:t xml:space="preserve">pochodne witaminy D3</w:t>
      </w:r>
    </w:p>
    <w:p>
      <w:pPr>
        <w:numPr>
          <w:ilvl w:val="0"/>
          <w:numId w:val="1004"/>
        </w:numPr>
        <w:pStyle w:val="Compact"/>
      </w:pPr>
      <w:r>
        <w:t xml:space="preserve">pochodne witaminy D3 - kalcipotriol, takalcytol - hamują narmierną proliferację naskórka</w:t>
      </w:r>
    </w:p>
    <w:p>
      <w:pPr>
        <w:numPr>
          <w:ilvl w:val="0"/>
          <w:numId w:val="1004"/>
        </w:numPr>
        <w:pStyle w:val="Compact"/>
      </w:pPr>
      <w:r>
        <w:t xml:space="preserve">cechują się potwierdzoną skutecznością, dobrymi właściwościami kosmetycznymi oraz wysokim profilem bezpieczeństwa</w:t>
      </w:r>
    </w:p>
    <w:p>
      <w:pPr>
        <w:numPr>
          <w:ilvl w:val="0"/>
          <w:numId w:val="1004"/>
        </w:numPr>
        <w:pStyle w:val="Compact"/>
      </w:pPr>
      <w:r>
        <w:t xml:space="preserve">leki te warto kojarzyć z miejscowymi glikokortykosteroidami, z którymi wykazują działanie synergistyczne</w:t>
      </w:r>
    </w:p>
    <w:p>
      <w:pPr>
        <w:pStyle w:val="FirstParagraph"/>
      </w:pPr>
      <w:r>
        <w:t xml:space="preserve">PUVA - leczenie promieniwaniem</w:t>
      </w:r>
    </w:p>
    <w:p>
      <w:pPr>
        <w:numPr>
          <w:ilvl w:val="0"/>
          <w:numId w:val="1005"/>
        </w:numPr>
        <w:pStyle w:val="Compact"/>
      </w:pPr>
      <w:r>
        <w:t xml:space="preserve">naświetlanie promieniowaniem UVA po podaniu psoralenu</w:t>
      </w:r>
    </w:p>
    <w:p>
      <w:pPr>
        <w:numPr>
          <w:ilvl w:val="0"/>
          <w:numId w:val="1005"/>
        </w:numPr>
        <w:pStyle w:val="Compact"/>
      </w:pPr>
      <w:r>
        <w:t xml:space="preserve">psoraleny - furanokumaryny o właściwościach fotouczulaczy</w:t>
      </w:r>
    </w:p>
    <w:p>
      <w:pPr>
        <w:numPr>
          <w:ilvl w:val="0"/>
          <w:numId w:val="1005"/>
        </w:numPr>
        <w:pStyle w:val="Compact"/>
      </w:pPr>
      <w:r>
        <w:t xml:space="preserve">stosuje się je łącznie z promieniami UVA, jako kurację PUVA (psoralen + UVA)</w:t>
      </w:r>
    </w:p>
    <w:p>
      <w:pPr>
        <w:numPr>
          <w:ilvl w:val="0"/>
          <w:numId w:val="1005"/>
        </w:numPr>
        <w:pStyle w:val="Compact"/>
      </w:pPr>
      <w:r>
        <w:t xml:space="preserve">po podaniu doustnym ich działanie utrzymuje się przez 8-10 godzin</w:t>
      </w:r>
    </w:p>
    <w:p>
      <w:pPr>
        <w:numPr>
          <w:ilvl w:val="0"/>
          <w:numId w:val="1005"/>
        </w:numPr>
        <w:pStyle w:val="Compact"/>
      </w:pPr>
      <w:r>
        <w:t xml:space="preserve">zwykle 2-3 razy w tygodniu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20230404_111749.jpg" title="" id="21" name="Picture"/>
            <a:graphic>
              <a:graphicData uri="http://schemas.openxmlformats.org/drawingml/2006/picture">
                <pic:pic>
                  <pic:nvPicPr>
                    <pic:cNvPr descr="/home/julianna/Dropbox/Obsidian/biokosmetologia/20230404_111749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Skóra - łuszczyca</w:t>
      </w:r>
    </w:p>
    <w:p>
      <w:pPr>
        <w:numPr>
          <w:ilvl w:val="0"/>
          <w:numId w:val="1006"/>
        </w:numPr>
        <w:pStyle w:val="Compact"/>
      </w:pPr>
      <w:r>
        <w:t xml:space="preserve">leki pochodzenia roślinnego wspomagają leczenie łuszczycy</w:t>
      </w:r>
    </w:p>
    <w:p>
      <w:pPr>
        <w:numPr>
          <w:ilvl w:val="0"/>
          <w:numId w:val="1006"/>
        </w:numPr>
        <w:pStyle w:val="Compact"/>
      </w:pPr>
      <w:r>
        <w:t xml:space="preserve">preparaty zawierające kwas ɣ-linolenowy, który jest pośrednim produktem w przemianie kwasu linolowego (niezbędny dla organizmu nienasycony egzogenny kwas tłuszczowy) do kwasu dihomo-ɣ-linolenowego i kwasu arachidonowego</w:t>
      </w:r>
    </w:p>
    <w:p>
      <w:pPr>
        <w:numPr>
          <w:ilvl w:val="0"/>
          <w:numId w:val="1006"/>
        </w:numPr>
        <w:pStyle w:val="Compact"/>
      </w:pPr>
      <w:r>
        <w:t xml:space="preserve">naturalnym źródłem kwasu ɣ-linolenowego jest olej otrzymywany z:</w:t>
      </w:r>
    </w:p>
    <w:p>
      <w:pPr>
        <w:numPr>
          <w:ilvl w:val="1"/>
          <w:numId w:val="1007"/>
        </w:numPr>
        <w:pStyle w:val="Compact"/>
      </w:pPr>
      <w:r>
        <w:t xml:space="preserve">nasion czarnej porzeczki</w:t>
      </w:r>
    </w:p>
    <w:p>
      <w:pPr>
        <w:numPr>
          <w:ilvl w:val="1"/>
          <w:numId w:val="1007"/>
        </w:numPr>
        <w:pStyle w:val="Compact"/>
      </w:pPr>
      <w:r>
        <w:t xml:space="preserve">wiesiołka jednorocznego</w:t>
      </w:r>
    </w:p>
    <w:p>
      <w:pPr>
        <w:numPr>
          <w:ilvl w:val="1"/>
          <w:numId w:val="1007"/>
        </w:numPr>
        <w:pStyle w:val="Compact"/>
      </w:pPr>
      <w:r>
        <w:t xml:space="preserve">wiesiołka dwuletniego</w:t>
      </w:r>
    </w:p>
    <w:p>
      <w:pPr>
        <w:numPr>
          <w:ilvl w:val="1"/>
          <w:numId w:val="1007"/>
        </w:numPr>
        <w:pStyle w:val="Compact"/>
      </w:pPr>
      <w:r>
        <w:t xml:space="preserve">ogórecznika lekarskiego</w:t>
      </w:r>
    </w:p>
    <w:p>
      <w:pPr>
        <w:pStyle w:val="FirstParagraph"/>
      </w:pPr>
      <w:r>
        <w:t xml:space="preserve">Czy łuszczyca jest zaraźliwa?</w:t>
      </w:r>
    </w:p>
    <w:p>
      <w:pPr>
        <w:numPr>
          <w:ilvl w:val="0"/>
          <w:numId w:val="1008"/>
        </w:numPr>
        <w:pStyle w:val="Compact"/>
      </w:pPr>
      <w:r>
        <w:t xml:space="preserve">jest chorobą przewlekłą i zapalną ale nie jest zaraźliwa</w:t>
      </w:r>
    </w:p>
    <w:p>
      <w:pPr>
        <w:numPr>
          <w:ilvl w:val="0"/>
          <w:numId w:val="1008"/>
        </w:numPr>
        <w:pStyle w:val="Compact"/>
      </w:pPr>
      <w:r>
        <w:t xml:space="preserve">do zakażenia łuszczycą nie dochodzi drogą kropelkową, nie wywołują jej bakterie oraz wirusy unoszące się w powietrzu, lecz u jej podstaw leżą predyspozycje genetyczne</w:t>
      </w:r>
    </w:p>
    <w:p>
      <w:pPr>
        <w:pStyle w:val="FirstParagraph"/>
      </w:pPr>
      <w:r>
        <w:t xml:space="preserve">Glikokortykosteroidy w AZS i łuszczycy</w:t>
      </w:r>
    </w:p>
    <w:p>
      <w:pPr>
        <w:numPr>
          <w:ilvl w:val="0"/>
          <w:numId w:val="1009"/>
        </w:numPr>
      </w:pPr>
      <w:r>
        <w:t xml:space="preserve">zlecenia polskiego towarzystwa dermatologicznego:</w:t>
      </w:r>
    </w:p>
    <w:p>
      <w:pPr>
        <w:numPr>
          <w:ilvl w:val="1"/>
          <w:numId w:val="1010"/>
        </w:numPr>
        <w:pStyle w:val="Compact"/>
      </w:pPr>
      <w:r>
        <w:t xml:space="preserve">doustne glikokortykosteroidy (GKS) dopuszczone są do leczenia AZS z ograniczeniem, głównie u pacjentów dorosłych, na czas do 1 tygodnia, w ściśle wyselekcjonowanych przypadkach, w zaostrzeniu choroby. nie należy przekraczać ekwiwalentu 0,5 mg prednizonu/kg m.c.</w:t>
      </w:r>
    </w:p>
    <w:p>
      <w:pPr>
        <w:numPr>
          <w:ilvl w:val="0"/>
          <w:numId w:val="1009"/>
        </w:numPr>
      </w:pPr>
      <w:r>
        <w:t xml:space="preserve">metotreksat (MTX) jest zalecany w ciężkich postaciach AZS opornych na inne metody leczenia</w:t>
      </w:r>
    </w:p>
    <w:p>
      <w:pPr>
        <w:numPr>
          <w:ilvl w:val="0"/>
          <w:numId w:val="1009"/>
        </w:numPr>
      </w:pPr>
      <w:r>
        <w:t xml:space="preserve">obecnie zaleca się MTX w leczeniu AZS u dorosłych w dawkach podobnych jak w leczeniu łuszczycy, tj, 10-20 mg tygodniowo. lek można stosować w jednej dawce raz w tygodniu, ale częściej aplikuje się go w trzech dawkach 2,5-7,5 mg co 12 godzin raz w tygodniu</w:t>
      </w:r>
    </w:p>
    <w:p>
      <w:pPr>
        <w:numPr>
          <w:ilvl w:val="0"/>
          <w:numId w:val="1009"/>
        </w:numPr>
      </w:pPr>
      <w:r>
        <w:t xml:space="preserve">metotreksat jest teratogenny - kobiety i mężczyźni powinni stosować skuteczną antykoncepcję w trakcie leczenia i zgodnie z charakterystyką produktu leczeniczego przez 6 miesięcy po jego zakończeniu</w:t>
      </w:r>
    </w:p>
    <w:p>
      <w:pPr>
        <w:pStyle w:val="FirstParagraph"/>
      </w:pPr>
      <w:r>
        <w:t xml:space="preserve">Trądzik</w:t>
      </w:r>
    </w:p>
    <w:p>
      <w:pPr>
        <w:pStyle w:val="BodyText"/>
      </w:pPr>
      <w:r>
        <w:t xml:space="preserve">Czynniki wpływające na pojawienie się trądziku:</w:t>
      </w:r>
    </w:p>
    <w:p>
      <w:pPr>
        <w:numPr>
          <w:ilvl w:val="0"/>
          <w:numId w:val="1011"/>
        </w:numPr>
        <w:pStyle w:val="Compact"/>
      </w:pPr>
      <w:r>
        <w:t xml:space="preserve">łojotok</w:t>
      </w:r>
    </w:p>
    <w:p>
      <w:pPr>
        <w:numPr>
          <w:ilvl w:val="0"/>
          <w:numId w:val="1011"/>
        </w:numPr>
        <w:pStyle w:val="Compact"/>
      </w:pPr>
      <w:r>
        <w:t xml:space="preserve">nadmierne rogowacenie ujść mieszków włosowych</w:t>
      </w:r>
    </w:p>
    <w:p>
      <w:pPr>
        <w:numPr>
          <w:ilvl w:val="0"/>
          <w:numId w:val="1011"/>
        </w:numPr>
        <w:pStyle w:val="Compact"/>
      </w:pPr>
      <w:r>
        <w:t xml:space="preserve">występuje szczególnie w obrębie warstwy ziarnistej i rogowej, powoduje nagromadzenie się łoju, rozszerzone ujścia mieszka włosowego - w efekcie dochodzu do zamknięcia kanału wydzielniczego - pojawienie się zaskórnika</w:t>
      </w:r>
    </w:p>
    <w:p>
      <w:pPr>
        <w:numPr>
          <w:ilvl w:val="0"/>
          <w:numId w:val="1011"/>
        </w:numPr>
        <w:pStyle w:val="Compact"/>
      </w:pPr>
      <w:r>
        <w:t xml:space="preserve">flora:</w:t>
      </w:r>
      <w:r>
        <w:t xml:space="preserve"> </w:t>
      </w:r>
      <w:r>
        <w:rPr>
          <w:iCs/>
          <w:i/>
        </w:rPr>
        <w:t xml:space="preserve">Propionibacterium acnes (Cutibacterium acnes)</w:t>
      </w:r>
      <w:r>
        <w:t xml:space="preserve"> </w:t>
      </w:r>
      <w:r>
        <w:t xml:space="preserve">- wykazują aktywność lipolityczną wobec triglicerydów łoju doprowadzając do powstania kwasów tłuszczowych, które ulegają oksydacji i wykazują działanie drażniące doprowadzając do wystąpienia stanu zapalnego</w:t>
      </w:r>
    </w:p>
    <w:p>
      <w:pPr>
        <w:pStyle w:val="FirstParagraph"/>
      </w:pPr>
      <w:r>
        <w:t xml:space="preserve">z uwagi na czynniki prowokujące wystąpienie zmian znany jest podział na:</w:t>
      </w:r>
    </w:p>
    <w:p>
      <w:pPr>
        <w:numPr>
          <w:ilvl w:val="0"/>
          <w:numId w:val="1012"/>
        </w:numPr>
        <w:pStyle w:val="Compact"/>
      </w:pPr>
      <w:r>
        <w:t xml:space="preserve">trądzik zawodowy - chlor, dziegcie, oleje</w:t>
      </w:r>
    </w:p>
    <w:p>
      <w:pPr>
        <w:numPr>
          <w:ilvl w:val="0"/>
          <w:numId w:val="1012"/>
        </w:numPr>
        <w:pStyle w:val="Compact"/>
      </w:pPr>
      <w:r>
        <w:t xml:space="preserve">trądzik polekowy - steroidy, witamina B12, jod, barbiturany</w:t>
      </w:r>
    </w:p>
    <w:p>
      <w:pPr>
        <w:numPr>
          <w:ilvl w:val="0"/>
          <w:numId w:val="1012"/>
        </w:numPr>
        <w:pStyle w:val="Compact"/>
      </w:pPr>
      <w:r>
        <w:t xml:space="preserve">trądzik kosmetyczny - pudry i róże zatykające ujśca gruczołów łojowych i potowych</w:t>
      </w:r>
    </w:p>
    <w:p>
      <w:pPr>
        <w:numPr>
          <w:ilvl w:val="0"/>
          <w:numId w:val="1012"/>
        </w:numPr>
        <w:pStyle w:val="Compact"/>
      </w:pPr>
      <w:r>
        <w:t xml:space="preserve">trądzik niemowlęcy - stosowanie olejów mineralnych do pielęgnacji niemowląt</w:t>
      </w:r>
      <w:r>
        <w:br/>
      </w:r>
      <w:r>
        <w:t xml:space="preserve">zmiany skórne w trądziku noworodkowym rozwijają się pod wpływem hormonów (androgenów) matki i hormonów wytwarzanych przez dziecko. u noworodków i niemowląt mamy także do czynienia ze zwiększonym wydzielaniem łoju. jest to normalne zjawisko, które ustępuje do 6 miesiąca życia.</w:t>
      </w:r>
    </w:p>
    <w:p>
      <w:pPr>
        <w:pStyle w:val="FirstParagraph"/>
      </w:pPr>
      <w:r>
        <w:t xml:space="preserve">trądzik pospolity (trądzik młodzieńczy)</w:t>
      </w:r>
    </w:p>
    <w:p>
      <w:pPr>
        <w:numPr>
          <w:ilvl w:val="0"/>
          <w:numId w:val="1013"/>
        </w:numPr>
        <w:pStyle w:val="Compact"/>
      </w:pPr>
      <w:r>
        <w:t xml:space="preserve">jest to choroba gruczołów łojowych</w:t>
      </w:r>
    </w:p>
    <w:p>
      <w:pPr>
        <w:numPr>
          <w:ilvl w:val="0"/>
          <w:numId w:val="1013"/>
        </w:numPr>
        <w:pStyle w:val="Compact"/>
      </w:pPr>
      <w:r>
        <w:t xml:space="preserve">etiopatogeneza jest wieloczynnikowa - wpływają na nią między innymi czynniki:</w:t>
      </w:r>
    </w:p>
    <w:p>
      <w:pPr>
        <w:numPr>
          <w:ilvl w:val="1"/>
          <w:numId w:val="1014"/>
        </w:numPr>
        <w:pStyle w:val="Compact"/>
      </w:pPr>
      <w:r>
        <w:t xml:space="preserve">hormonalne</w:t>
      </w:r>
    </w:p>
    <w:p>
      <w:pPr>
        <w:numPr>
          <w:ilvl w:val="1"/>
          <w:numId w:val="1014"/>
        </w:numPr>
        <w:pStyle w:val="Compact"/>
      </w:pPr>
      <w:r>
        <w:t xml:space="preserve">genetyczne</w:t>
      </w:r>
    </w:p>
    <w:p>
      <w:pPr>
        <w:numPr>
          <w:ilvl w:val="1"/>
          <w:numId w:val="1014"/>
        </w:numPr>
        <w:pStyle w:val="Compact"/>
      </w:pPr>
      <w:r>
        <w:t xml:space="preserve">zmiana składu łoju</w:t>
      </w:r>
    </w:p>
    <w:p>
      <w:pPr>
        <w:numPr>
          <w:ilvl w:val="1"/>
          <w:numId w:val="1014"/>
        </w:numPr>
        <w:pStyle w:val="Compact"/>
      </w:pPr>
      <w:r>
        <w:t xml:space="preserve">przerost gruczołów łojowych</w:t>
      </w:r>
    </w:p>
    <w:p>
      <w:pPr>
        <w:numPr>
          <w:ilvl w:val="1"/>
          <w:numId w:val="1014"/>
        </w:numPr>
        <w:pStyle w:val="Compact"/>
      </w:pPr>
      <w:r>
        <w:t xml:space="preserve">tworzenie zaskórników</w:t>
      </w:r>
    </w:p>
    <w:p>
      <w:pPr>
        <w:numPr>
          <w:ilvl w:val="1"/>
          <w:numId w:val="1014"/>
        </w:numPr>
        <w:pStyle w:val="Compact"/>
      </w:pPr>
      <w:r>
        <w:t xml:space="preserve">odczyn zapalny</w:t>
      </w:r>
    </w:p>
    <w:p>
      <w:pPr>
        <w:numPr>
          <w:ilvl w:val="1"/>
          <w:numId w:val="1014"/>
        </w:numPr>
        <w:pStyle w:val="Compact"/>
      </w:pPr>
      <w:r>
        <w:t xml:space="preserve">kolonizacja jednostek włosowo-łojowych przez</w:t>
      </w:r>
      <w:r>
        <w:t xml:space="preserve"> </w:t>
      </w:r>
      <w:r>
        <w:rPr>
          <w:iCs/>
          <w:i/>
        </w:rPr>
        <w:t xml:space="preserve">Propionibacterium acnes</w:t>
      </w:r>
    </w:p>
    <w:p>
      <w:pPr>
        <w:numPr>
          <w:ilvl w:val="1"/>
          <w:numId w:val="1014"/>
        </w:numPr>
        <w:pStyle w:val="Compact"/>
      </w:pPr>
      <w:r>
        <w:t xml:space="preserve">w około 80% przypadków trądzik cechuje się łagodnym przebiegiem, w którym podstawę terapii stanowią leczenie miejscowe i odpowiednia pielęgnacja skóry</w:t>
      </w:r>
    </w:p>
    <w:p>
      <w:pPr>
        <w:pStyle w:val="FirstParagraph"/>
      </w:pPr>
      <w:r>
        <w:t xml:space="preserve">objawy to przede wszystkim zmiany w postaci wykwitów skórnych, najważniejsze z nich to:</w:t>
      </w:r>
    </w:p>
    <w:p>
      <w:pPr>
        <w:numPr>
          <w:ilvl w:val="0"/>
          <w:numId w:val="1015"/>
        </w:numPr>
        <w:pStyle w:val="Compact"/>
      </w:pPr>
      <w:r>
        <w:t xml:space="preserve">zaskórniki - zamknięte ujścia gruczołów łojowych</w:t>
      </w:r>
    </w:p>
    <w:p>
      <w:pPr>
        <w:numPr>
          <w:ilvl w:val="0"/>
          <w:numId w:val="1015"/>
        </w:numPr>
        <w:pStyle w:val="Compact"/>
      </w:pPr>
      <w:r>
        <w:t xml:space="preserve">zaskórniki otwarte - ciemne punkty</w:t>
      </w:r>
    </w:p>
    <w:p>
      <w:pPr>
        <w:numPr>
          <w:ilvl w:val="0"/>
          <w:numId w:val="1015"/>
        </w:numPr>
        <w:pStyle w:val="Compact"/>
      </w:pPr>
      <w:r>
        <w:t xml:space="preserve">zaskórnki zamknięte to białe punkty</w:t>
      </w:r>
    </w:p>
    <w:p>
      <w:pPr>
        <w:numPr>
          <w:ilvl w:val="0"/>
          <w:numId w:val="1015"/>
        </w:numPr>
        <w:pStyle w:val="Compact"/>
      </w:pPr>
      <w:r>
        <w:t xml:space="preserve">grudki i krostki zapalne - wyniosłe nad powierzchnię skóry czerwone i żółte wykwity, mogą być bolesne</w:t>
      </w:r>
    </w:p>
    <w:p>
      <w:pPr>
        <w:numPr>
          <w:ilvl w:val="0"/>
          <w:numId w:val="1015"/>
        </w:numPr>
        <w:pStyle w:val="Compact"/>
      </w:pPr>
      <w:r>
        <w:t xml:space="preserve">torbiele robne (cysty) - zmiany zapalne głębsze i większych rozmiarów niż grudki, mogą powodować blizny</w:t>
      </w:r>
    </w:p>
    <w:p>
      <w:pPr>
        <w:numPr>
          <w:ilvl w:val="0"/>
          <w:numId w:val="1015"/>
        </w:numPr>
        <w:pStyle w:val="Compact"/>
      </w:pPr>
      <w:r>
        <w:t xml:space="preserve">blizny zanikowe i przerosłe</w:t>
      </w:r>
    </w:p>
    <w:p>
      <w:pPr>
        <w:pStyle w:val="FirstParagraph"/>
      </w:pPr>
      <w:r>
        <w:t xml:space="preserve">terapia trądziku zależy od postaci:</w:t>
      </w:r>
    </w:p>
    <w:p>
      <w:pPr>
        <w:numPr>
          <w:ilvl w:val="0"/>
          <w:numId w:val="1016"/>
        </w:numPr>
        <w:pStyle w:val="Compact"/>
      </w:pPr>
      <w:r>
        <w:t xml:space="preserve">trądzik zaskórnikowy - preparaty odblokowujące zaczopowane gruczoły łojowe - retinoidy, nadtlenek benzoilu i kwasy owocowe oraz zabiegi złuszczające, oczyszczanie twarzy</w:t>
      </w:r>
    </w:p>
    <w:p>
      <w:pPr>
        <w:numPr>
          <w:ilvl w:val="0"/>
          <w:numId w:val="1016"/>
        </w:numPr>
        <w:pStyle w:val="Compact"/>
      </w:pPr>
      <w:r>
        <w:t xml:space="preserve">trądzik grudkowy i krostkowy - antybiotyki doustnie i/lub miejscowo</w:t>
      </w:r>
    </w:p>
    <w:p>
      <w:pPr>
        <w:numPr>
          <w:ilvl w:val="0"/>
          <w:numId w:val="1016"/>
        </w:numPr>
        <w:pStyle w:val="Compact"/>
      </w:pPr>
      <w:r>
        <w:t xml:space="preserve">trądzik ropowiczy i piorunujący oraz oporne na leczenie ww postacie - izotretynoina doustnie</w:t>
      </w:r>
    </w:p>
    <w:p>
      <w:pPr>
        <w:pStyle w:val="FirstParagraph"/>
      </w:pPr>
      <w:r>
        <w:t xml:space="preserve">leczenie miejscowe</w:t>
      </w:r>
    </w:p>
    <w:p>
      <w:pPr>
        <w:numPr>
          <w:ilvl w:val="0"/>
          <w:numId w:val="1017"/>
        </w:numPr>
        <w:pStyle w:val="Compact"/>
      </w:pPr>
      <w:r>
        <w:t xml:space="preserve">antybiotyki</w:t>
      </w:r>
    </w:p>
    <w:p>
      <w:pPr>
        <w:numPr>
          <w:ilvl w:val="0"/>
          <w:numId w:val="1017"/>
        </w:numPr>
        <w:pStyle w:val="Compact"/>
      </w:pPr>
      <w:r>
        <w:t xml:space="preserve">retinoidy</w:t>
      </w:r>
    </w:p>
    <w:p>
      <w:pPr>
        <w:numPr>
          <w:ilvl w:val="0"/>
          <w:numId w:val="1017"/>
        </w:numPr>
        <w:pStyle w:val="Compact"/>
      </w:pPr>
      <w:r>
        <w:t xml:space="preserve">nadtlenek benzoily</w:t>
      </w:r>
    </w:p>
    <w:p>
      <w:pPr>
        <w:numPr>
          <w:ilvl w:val="0"/>
          <w:numId w:val="1017"/>
        </w:numPr>
        <w:pStyle w:val="Compact"/>
      </w:pPr>
      <w:r>
        <w:t xml:space="preserve">kwas azelainowy</w:t>
      </w:r>
      <w:r>
        <w:br/>
      </w:r>
      <w:r>
        <w:t xml:space="preserve">leczenie miejscowe jest wystarczające u około 60-80% osób z trądzikiem</w:t>
      </w:r>
      <w:r>
        <w:br/>
      </w:r>
      <w:r>
        <w:t xml:space="preserve">terapia powinna być jednak prowadzona systematycznie, z reguły przez wiele miesięcy - początkowo bardziej intensywnie do czasu ustąpienia zmian trądzikowych, a następnie rzadziej w formie leczenia podtrzymującego</w:t>
      </w:r>
    </w:p>
    <w:p>
      <w:pPr>
        <w:pStyle w:val="FirstParagraph"/>
      </w:pPr>
      <w:r>
        <w:t xml:space="preserve">antybiotyki</w:t>
      </w:r>
    </w:p>
    <w:p>
      <w:pPr>
        <w:numPr>
          <w:ilvl w:val="0"/>
          <w:numId w:val="1018"/>
        </w:numPr>
        <w:pStyle w:val="Compact"/>
      </w:pPr>
      <w:r>
        <w:t xml:space="preserve">wskazane są w postaci zaskórnikowo-grudkowo-krostkowej</w:t>
      </w:r>
    </w:p>
    <w:p>
      <w:pPr>
        <w:numPr>
          <w:ilvl w:val="0"/>
          <w:numId w:val="1018"/>
        </w:numPr>
        <w:pStyle w:val="Compact"/>
      </w:pPr>
      <w:r>
        <w:t xml:space="preserve">wykazują działanie przeciwbakteryjne i przeciwzapalne</w:t>
      </w:r>
    </w:p>
    <w:p>
      <w:pPr>
        <w:numPr>
          <w:ilvl w:val="0"/>
          <w:numId w:val="1018"/>
        </w:numPr>
        <w:pStyle w:val="Compact"/>
      </w:pPr>
      <w:r>
        <w:t xml:space="preserve">mechanizm działania polega na hamowaniu chemotaksji neutrofilów, produkcji cytokin i funkcji makrofagów, a także zmniejszeniu liczby</w:t>
      </w:r>
      <w:r>
        <w:t xml:space="preserve"> </w:t>
      </w:r>
      <w:r>
        <w:rPr>
          <w:iCs/>
          <w:i/>
        </w:rPr>
        <w:t xml:space="preserve">P. acnes</w:t>
      </w:r>
      <w:r>
        <w:t xml:space="preserve"> </w:t>
      </w:r>
      <w:r>
        <w:t xml:space="preserve">w obrębie gruczołów łojowych</w:t>
      </w:r>
    </w:p>
    <w:p>
      <w:pPr>
        <w:numPr>
          <w:ilvl w:val="0"/>
          <w:numId w:val="1018"/>
        </w:numPr>
        <w:pStyle w:val="Compact"/>
      </w:pPr>
      <w:r>
        <w:t xml:space="preserve">w przeciwieństwie do innych leków stosowanych miejscowo w zasadzie nie mają działania drażniącego (w postaci rumienia, złuszczania czy pieczenia)</w:t>
      </w:r>
    </w:p>
    <w:p>
      <w:pPr>
        <w:numPr>
          <w:ilvl w:val="0"/>
          <w:numId w:val="1018"/>
        </w:numPr>
        <w:pStyle w:val="Compact"/>
      </w:pPr>
      <w:r>
        <w:t xml:space="preserve">bardzo ważną ich zaletą jest możliwość stosowania u ciężarnych oraz u dzieci i młodzieży</w:t>
      </w:r>
    </w:p>
    <w:p>
      <w:pPr>
        <w:pStyle w:val="FirstParagraph"/>
      </w:pPr>
      <w:r>
        <w:t xml:space="preserve">antybiotyki miejscowe stosowane w trądziku:</w:t>
      </w:r>
      <w:r>
        <w:br/>
      </w:r>
      <w:r>
        <w:drawing>
          <wp:inline>
            <wp:extent cx="5334000" cy="4000500"/>
            <wp:effectExtent b="0" l="0" r="0" t="0"/>
            <wp:docPr descr="20230404_120830.jpg" title="" id="24" name="Picture"/>
            <a:graphic>
              <a:graphicData uri="http://schemas.openxmlformats.org/drawingml/2006/picture">
                <pic:pic>
                  <pic:nvPicPr>
                    <pic:cNvPr descr="/home/julianna/Dropbox/Obsidian/biokosmetologia/20230404_120830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9"/>
        </w:numPr>
        <w:pStyle w:val="Compact"/>
      </w:pPr>
      <w:r>
        <w:t xml:space="preserve">ertytromycyna i klindamycyna należą do kategorii B wg FDA, w razie konieczności mogą być stosowane w ciąży</w:t>
      </w:r>
    </w:p>
    <w:p>
      <w:pPr>
        <w:numPr>
          <w:ilvl w:val="0"/>
          <w:numId w:val="1019"/>
        </w:numPr>
        <w:pStyle w:val="Compact"/>
      </w:pPr>
      <w:r>
        <w:t xml:space="preserve">erytromycyna</w:t>
      </w:r>
    </w:p>
    <w:p>
      <w:pPr>
        <w:numPr>
          <w:ilvl w:val="1"/>
          <w:numId w:val="1020"/>
        </w:numPr>
        <w:pStyle w:val="Compact"/>
      </w:pPr>
      <w:r>
        <w:t xml:space="preserve">jest jednym z podstawowym leków w terapii tej jednostki chorobowej</w:t>
      </w:r>
    </w:p>
    <w:p>
      <w:pPr>
        <w:numPr>
          <w:ilvl w:val="1"/>
          <w:numId w:val="1020"/>
        </w:numPr>
        <w:pStyle w:val="Compact"/>
      </w:pPr>
      <w:r>
        <w:t xml:space="preserve">może być stosowana łącznie z nadtlenkiem benzoilu czy retinoidami</w:t>
      </w:r>
    </w:p>
    <w:p>
      <w:pPr>
        <w:numPr>
          <w:ilvl w:val="0"/>
          <w:numId w:val="1019"/>
        </w:numPr>
        <w:pStyle w:val="Compact"/>
      </w:pPr>
      <w:r>
        <w:t xml:space="preserve">klindamycyna</w:t>
      </w:r>
    </w:p>
    <w:p>
      <w:pPr>
        <w:numPr>
          <w:ilvl w:val="1"/>
          <w:numId w:val="1021"/>
        </w:numPr>
        <w:pStyle w:val="Compact"/>
      </w:pPr>
      <w:r>
        <w:t xml:space="preserve">do stosowania miejscowego dostępna jest w postacji żelu, emulsji lub płynu zazwyczaj w stężeniu 1%</w:t>
      </w:r>
    </w:p>
    <w:p>
      <w:pPr>
        <w:numPr>
          <w:ilvl w:val="1"/>
          <w:numId w:val="1021"/>
        </w:numPr>
        <w:pStyle w:val="Compact"/>
      </w:pPr>
      <w:r>
        <w:t xml:space="preserve">zaleca się stosowanie po 12 r.ż.</w:t>
      </w:r>
    </w:p>
    <w:p>
      <w:pPr>
        <w:numPr>
          <w:ilvl w:val="1"/>
          <w:numId w:val="1021"/>
        </w:numPr>
        <w:pStyle w:val="Compact"/>
      </w:pPr>
      <w:r>
        <w:t xml:space="preserve">jest półsyntetyczną pochodną linkomycyny o działaniu głównie bakteriostatyczym oraz bakteriobójczym, zależnie od stężenia w miejscu zakażenia i od wrażliwości drobnoustroju</w:t>
      </w:r>
    </w:p>
    <w:p>
      <w:pPr>
        <w:pStyle w:val="FirstParagraph"/>
      </w:pPr>
      <w:r>
        <w:t xml:space="preserve">zalety stosowania antybiotyków miejscowo:</w:t>
      </w:r>
    </w:p>
    <w:p>
      <w:pPr>
        <w:numPr>
          <w:ilvl w:val="0"/>
          <w:numId w:val="1022"/>
        </w:numPr>
        <w:pStyle w:val="Compact"/>
      </w:pPr>
      <w:r>
        <w:t xml:space="preserve">duża skuteczność</w:t>
      </w:r>
    </w:p>
    <w:p>
      <w:pPr>
        <w:numPr>
          <w:ilvl w:val="0"/>
          <w:numId w:val="1022"/>
        </w:numPr>
        <w:pStyle w:val="Compact"/>
      </w:pPr>
      <w:r>
        <w:t xml:space="preserve">duża tolerancja</w:t>
      </w:r>
    </w:p>
    <w:p>
      <w:pPr>
        <w:numPr>
          <w:ilvl w:val="0"/>
          <w:numId w:val="1022"/>
        </w:numPr>
        <w:pStyle w:val="Compact"/>
      </w:pPr>
      <w:r>
        <w:t xml:space="preserve">bardzo rzadko występują działania niepożądane</w:t>
      </w:r>
    </w:p>
    <w:p>
      <w:pPr>
        <w:numPr>
          <w:ilvl w:val="0"/>
          <w:numId w:val="1022"/>
        </w:numPr>
        <w:pStyle w:val="Compact"/>
      </w:pPr>
      <w:r>
        <w:t xml:space="preserve">preparaty z klindamycyną i erytromycyną:</w:t>
      </w:r>
    </w:p>
    <w:p>
      <w:pPr>
        <w:numPr>
          <w:ilvl w:val="1"/>
          <w:numId w:val="1023"/>
        </w:numPr>
        <w:pStyle w:val="Compact"/>
      </w:pPr>
      <w:r>
        <w:t xml:space="preserve">nie wywołują reakcji fototoksycznych i fotoalergicznych</w:t>
      </w:r>
    </w:p>
    <w:p>
      <w:pPr>
        <w:numPr>
          <w:ilvl w:val="1"/>
          <w:numId w:val="1023"/>
        </w:numPr>
        <w:pStyle w:val="Compact"/>
      </w:pPr>
      <w:r>
        <w:t xml:space="preserve">rzadko powodują zaczerwienienie, pieczenie i łuszczenie skóry</w:t>
      </w:r>
    </w:p>
    <w:p>
      <w:pPr>
        <w:numPr>
          <w:ilvl w:val="1"/>
          <w:numId w:val="1023"/>
        </w:numPr>
        <w:pStyle w:val="Compact"/>
      </w:pPr>
      <w:r>
        <w:t xml:space="preserve">mogą być aplikowane o każdej porze dnia</w:t>
      </w:r>
    </w:p>
    <w:p>
      <w:pPr>
        <w:pStyle w:val="FirstParagraph"/>
      </w:pPr>
      <w:r>
        <w:t xml:space="preserve">kwas azelainowy</w:t>
      </w:r>
    </w:p>
    <w:p>
      <w:pPr>
        <w:numPr>
          <w:ilvl w:val="0"/>
          <w:numId w:val="1024"/>
        </w:numPr>
        <w:pStyle w:val="Compact"/>
      </w:pPr>
      <w:r>
        <w:t xml:space="preserve">posiada właściwości antybakteryjne i keratolityczne</w:t>
      </w:r>
    </w:p>
    <w:p>
      <w:pPr>
        <w:numPr>
          <w:ilvl w:val="0"/>
          <w:numId w:val="1024"/>
        </w:numPr>
        <w:pStyle w:val="Compact"/>
      </w:pPr>
      <w:r>
        <w:t xml:space="preserve">działa przeciwzapalnie - łagodzi stany zapalne, pomaga w leczeniu trądziku różowatego</w:t>
      </w:r>
    </w:p>
    <w:p>
      <w:pPr>
        <w:numPr>
          <w:ilvl w:val="0"/>
          <w:numId w:val="1024"/>
        </w:numPr>
        <w:pStyle w:val="Compact"/>
      </w:pPr>
      <w:r>
        <w:t xml:space="preserve">działa antyoksydacyjnie - pomaga wyeliminować wolne rodniki, które przyczyniają się do pogorszenia kondycji skóry oraz przyspieszonego starzenia</w:t>
      </w:r>
    </w:p>
    <w:p>
      <w:pPr>
        <w:numPr>
          <w:ilvl w:val="0"/>
          <w:numId w:val="1024"/>
        </w:numPr>
        <w:pStyle w:val="Compact"/>
      </w:pPr>
      <w:r>
        <w:t xml:space="preserve">zmniejsza ilość wolnych kwasów tłuszczowych na powierdzchni skóry</w:t>
      </w:r>
    </w:p>
    <w:p>
      <w:pPr>
        <w:numPr>
          <w:ilvl w:val="0"/>
          <w:numId w:val="1024"/>
        </w:numPr>
        <w:pStyle w:val="Compact"/>
      </w:pPr>
      <w:r>
        <w:t xml:space="preserve">hamuje proliferację keratynocytów</w:t>
      </w:r>
    </w:p>
    <w:p>
      <w:pPr>
        <w:numPr>
          <w:ilvl w:val="0"/>
          <w:numId w:val="1024"/>
        </w:numPr>
        <w:pStyle w:val="Compact"/>
      </w:pPr>
      <w:r>
        <w:t xml:space="preserve">przyspiesza rozpad zaskórników</w:t>
      </w:r>
    </w:p>
    <w:p>
      <w:pPr>
        <w:numPr>
          <w:ilvl w:val="0"/>
          <w:numId w:val="1024"/>
        </w:numPr>
        <w:pStyle w:val="Compact"/>
      </w:pPr>
      <w:r>
        <w:t xml:space="preserve">wpływa na nadmierne rogowacenie mieszkowe</w:t>
      </w:r>
    </w:p>
    <w:p>
      <w:pPr>
        <w:numPr>
          <w:ilvl w:val="0"/>
          <w:numId w:val="1024"/>
        </w:numPr>
        <w:pStyle w:val="Compact"/>
      </w:pPr>
      <w:r>
        <w:t xml:space="preserve">jest inhibitorem tyrozyazy - hamuje działanie enzymu tyrozynazy odpowiedzlanego za powstawanie przebarwień na powierzchni skóry</w:t>
      </w:r>
    </w:p>
    <w:p>
      <w:pPr>
        <w:numPr>
          <w:ilvl w:val="0"/>
          <w:numId w:val="1024"/>
        </w:numPr>
        <w:pStyle w:val="Compact"/>
      </w:pPr>
      <w:r>
        <w:t xml:space="preserve">szerokie zastosowanie znalazł we współczesnej dermatologii jako składnik żełi i kremów w stężeniach 15-20%</w:t>
      </w:r>
    </w:p>
    <w:p>
      <w:pPr>
        <w:numPr>
          <w:ilvl w:val="0"/>
          <w:numId w:val="1024"/>
        </w:numPr>
        <w:pStyle w:val="Compact"/>
      </w:pPr>
      <w:r>
        <w:t xml:space="preserve">w zabiegach domowych jako składnik kremów, serum, peelingów - 5%</w:t>
      </w:r>
    </w:p>
    <w:p>
      <w:pPr>
        <w:numPr>
          <w:ilvl w:val="0"/>
          <w:numId w:val="1024"/>
        </w:numPr>
        <w:pStyle w:val="Compact"/>
      </w:pPr>
      <w:r>
        <w:t xml:space="preserve">możliwość stosowania przez cały rok, również w okresie wiosenno-letnim - zawsze zalecana jest ochrona przeciwsłoneczna</w:t>
      </w:r>
    </w:p>
    <w:p>
      <w:pPr>
        <w:numPr>
          <w:ilvl w:val="0"/>
          <w:numId w:val="1024"/>
        </w:numPr>
        <w:pStyle w:val="Compact"/>
      </w:pPr>
      <w:r>
        <w:t xml:space="preserve">efekty widoczne dopiero po pewnym czasie (ok. 6-8 tygodni)</w:t>
      </w:r>
    </w:p>
    <w:p>
      <w:pPr>
        <w:numPr>
          <w:ilvl w:val="0"/>
          <w:numId w:val="1024"/>
        </w:numPr>
        <w:pStyle w:val="Compact"/>
      </w:pPr>
      <w:r>
        <w:t xml:space="preserve">kuracja z użyciem kwasu azelainowego nie powinna być dłuższa niż 6 miesięcy</w:t>
      </w:r>
    </w:p>
    <w:p>
      <w:pPr>
        <w:pStyle w:val="FirstParagraph"/>
      </w:pPr>
      <w:r>
        <w:t xml:space="preserve">wskazania w leczeniu:</w:t>
      </w:r>
    </w:p>
    <w:p>
      <w:pPr>
        <w:numPr>
          <w:ilvl w:val="0"/>
          <w:numId w:val="1025"/>
        </w:numPr>
        <w:pStyle w:val="Compact"/>
      </w:pPr>
      <w:r>
        <w:t xml:space="preserve">trądziku pospolitego, zaskórnikowego, grudkowo-krostkowego - zmniejszenie stanów zapalnych, aktywności bakterii znajdujących się na skórze oraz regulacja pracy gruczołów łojowych</w:t>
      </w:r>
    </w:p>
    <w:p>
      <w:pPr>
        <w:numPr>
          <w:ilvl w:val="0"/>
          <w:numId w:val="1025"/>
        </w:numPr>
        <w:pStyle w:val="Compact"/>
      </w:pPr>
      <w:r>
        <w:t xml:space="preserve">trądziku różowatego - złagodzenie stanów zapalnych oraz rumienia</w:t>
      </w:r>
    </w:p>
    <w:p>
      <w:pPr>
        <w:numPr>
          <w:ilvl w:val="0"/>
          <w:numId w:val="1025"/>
        </w:numPr>
        <w:pStyle w:val="Compact"/>
      </w:pPr>
      <w:r>
        <w:t xml:space="preserve">przebarwień - hamując enzym tyrozynazy zapobiega powstawaniu przebarwień, jednak nie wykazuje skuteczności przy piegach i plamach soczewicowatych</w:t>
      </w:r>
    </w:p>
    <w:p>
      <w:pPr>
        <w:numPr>
          <w:ilvl w:val="0"/>
          <w:numId w:val="1025"/>
        </w:numPr>
        <w:pStyle w:val="Compact"/>
      </w:pPr>
      <w:r>
        <w:t xml:space="preserve">zapalenia mieszków włosowych</w:t>
      </w:r>
    </w:p>
    <w:p>
      <w:pPr>
        <w:numPr>
          <w:ilvl w:val="0"/>
          <w:numId w:val="1025"/>
        </w:numPr>
        <w:pStyle w:val="Compact"/>
      </w:pPr>
      <w:r>
        <w:t xml:space="preserve">może być stosowany przez kobiety w ciąży i karmiące piersią pod kontrolą lekarza</w:t>
      </w:r>
    </w:p>
    <w:p>
      <w:pPr>
        <w:pStyle w:val="FirstParagraph"/>
      </w:pPr>
      <w:r>
        <w:t xml:space="preserve">z czym można go łączyć?</w:t>
      </w:r>
    </w:p>
    <w:p>
      <w:pPr>
        <w:numPr>
          <w:ilvl w:val="0"/>
          <w:numId w:val="1026"/>
        </w:numPr>
        <w:pStyle w:val="Compact"/>
      </w:pPr>
      <w:r>
        <w:t xml:space="preserve">z antybiotykami (do stosowania zewnętrznego i wewnętrznego)</w:t>
      </w:r>
    </w:p>
    <w:p>
      <w:pPr>
        <w:numPr>
          <w:ilvl w:val="0"/>
          <w:numId w:val="1026"/>
        </w:numPr>
        <w:pStyle w:val="Compact"/>
      </w:pPr>
      <w:r>
        <w:t xml:space="preserve">terapią hormonalną</w:t>
      </w:r>
    </w:p>
    <w:p>
      <w:pPr>
        <w:numPr>
          <w:ilvl w:val="0"/>
          <w:numId w:val="1026"/>
        </w:numPr>
        <w:pStyle w:val="Compact"/>
      </w:pPr>
      <w:r>
        <w:t xml:space="preserve">nadtlenkiem benzoilu</w:t>
      </w:r>
    </w:p>
    <w:p>
      <w:pPr>
        <w:numPr>
          <w:ilvl w:val="0"/>
          <w:numId w:val="1026"/>
        </w:numPr>
        <w:pStyle w:val="Compact"/>
      </w:pPr>
      <w:r>
        <w:t xml:space="preserve">tretinoiną</w:t>
      </w:r>
    </w:p>
    <w:p>
      <w:pPr>
        <w:numPr>
          <w:ilvl w:val="0"/>
          <w:numId w:val="1026"/>
        </w:numPr>
        <w:pStyle w:val="Compact"/>
      </w:pPr>
      <w:r>
        <w:t xml:space="preserve">kwasami AHA i BHA (np. kwasem mlekowym, salicylowym, migdałowym czy glikolowym)</w:t>
      </w:r>
    </w:p>
    <w:p>
      <w:pPr>
        <w:numPr>
          <w:ilvl w:val="0"/>
          <w:numId w:val="1026"/>
        </w:numPr>
        <w:pStyle w:val="Compact"/>
      </w:pPr>
      <w:r>
        <w:t xml:space="preserve">kwasem laktobionowym</w:t>
      </w:r>
    </w:p>
    <w:p>
      <w:pPr>
        <w:numPr>
          <w:ilvl w:val="0"/>
          <w:numId w:val="1026"/>
        </w:numPr>
        <w:pStyle w:val="Compact"/>
      </w:pPr>
      <w:r>
        <w:t xml:space="preserve">niacynamidem (witaminą B3)</w:t>
      </w:r>
    </w:p>
    <w:p>
      <w:pPr>
        <w:pStyle w:val="FirstParagraph"/>
      </w:pPr>
      <w:r>
        <w:t xml:space="preserve">przeciwwskazania:</w:t>
      </w:r>
    </w:p>
    <w:p>
      <w:pPr>
        <w:numPr>
          <w:ilvl w:val="0"/>
          <w:numId w:val="1027"/>
        </w:numPr>
        <w:pStyle w:val="Compact"/>
      </w:pPr>
      <w:r>
        <w:t xml:space="preserve">skóra w planowanym miejscu aplikacji jest uszkodzona (występują infekcje, nadżerki lub ostre stany zapalne)</w:t>
      </w:r>
    </w:p>
    <w:p>
      <w:pPr>
        <w:numPr>
          <w:ilvl w:val="0"/>
          <w:numId w:val="1027"/>
        </w:numPr>
        <w:pStyle w:val="Compact"/>
      </w:pPr>
      <w:r>
        <w:t xml:space="preserve">równocześnie stosowana z pochodnymi witaminy A (zarówno w postaci leków jak preparatów miejscowych)</w:t>
      </w:r>
    </w:p>
    <w:p>
      <w:pPr>
        <w:numPr>
          <w:ilvl w:val="0"/>
          <w:numId w:val="1027"/>
        </w:numPr>
        <w:pStyle w:val="Compact"/>
      </w:pPr>
      <w:r>
        <w:t xml:space="preserve">w miejscu aplikacji przeprowadzony był zabieg chirurgiczny (do 3 miesięcy wcześniej) lub kuracja krioterapią (do 6 miesięcy wcześiej)</w:t>
      </w:r>
    </w:p>
    <w:p>
      <w:pPr>
        <w:numPr>
          <w:ilvl w:val="0"/>
          <w:numId w:val="1027"/>
        </w:numPr>
        <w:pStyle w:val="Compact"/>
      </w:pPr>
      <w:r>
        <w:t xml:space="preserve">pacjent ma nadwrażliwość na składnik aktywny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Relationship Type="http://schemas.openxmlformats.org/officeDocument/2006/relationships/image" Id="rId23" Target="media/rId2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wykład 4.04</dc:title>
  <dc:creator/>
  <cp:keywords/>
  <dcterms:created xsi:type="dcterms:W3CDTF">2023-06-10T18:42:47Z</dcterms:created>
  <dcterms:modified xsi:type="dcterms:W3CDTF">2023-06-10T18:42:47Z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