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Julianna Wisz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Biokosmetologia gr. 3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Toksykologia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Oznaczanie zawartości d-pantenolu w produktach kosmetycznych metodą spektrofotometryczną</w:t>
      </w:r>
    </w:p>
    <w:p>
      <w:pPr>
        <w:pStyle w:val="Normal"/>
        <w:bidi w:val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Zagadnienia: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Budowa i funkcje witamin z grup B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witamina B1, tiamina -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 xml:space="preserve"> heterocykliczny związek chemiczny, złożony z pierścieni tiazolowego i pirymidynowego, połączonych mostkiem metylenowym. Jej aktywna forma bierze udział w oddychaniu komórkowym, wpływa na metabolizm węglowodanów, warunkuje właściwe funkcjonowanie tkanki nerwowej, przewodu pokarmowego i układu krążenia.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B2, ryboflawina, E101 – połączenie rybitolu i flawiny. Stymuluje wzrost i ogólną odporność organizmu. Składnik koenzymów uczestniczących w oddychaniu komórkowym. Wpływa na metabolizm węglowodanów, aminokwasów i tłuszczów. Bierze udział w syntezie hemoglobiny. Wspomaga regenerację skóry.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B3, witamina PP - wspólna nazwa na określenie dwóch związków: kwasu nikotynowego (niacyny, czyli kwasu 3-pirydynokarboksylowego, pochodnej pirydyny) i jego amidu (nikotynamidu). Składnik układu koenzymów NAD+/NADH, NADP+/NADPH przenoszących wodór i elektrony w procesie oddychania komórkowego. Utrzymuje we właściwym stanie nabłonek skóry i przewodu pokarmowego oraz układ nerwowy. Obniża poziom cholesterolu we krwi, rozszerza naczynia krwionośne, a także pomaga spalać węglowodany, tłuszcze i białka.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B5, kwas pantotenowy – amid kwasu pantoinowego i ß-alaniny. Składnik koenzymu A, biorącego udział w metabolizmie węglowodanów, tłuszczów i białek oraz w przenoszeniu energii. Utrzymuje w prawidłowym stanie tkankę nerwową i skórę. Łagodzi stany zapalne. Bierze udział w syntezie kortykosteroidów. Poprawia wzrost i pigmentację włosów. Zapobiega przedwczesnemu starzeniu się i powstawaniu zmarszczek.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 xml:space="preserve">Witamina B6 -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grupa 6 organicznych związków chemicznych, pochodnych pirydyny: pirydoksyny, pirydoksalu i pirydoksaminy oraz ich 5'-fosforanów. Formą aktywną biologicznie jest fosforan pirydoksalu, do którego pozostałe formy są przekształcane enzymatycznie, w wyniku działania kinaz i oksydaz. Bierze udział w krwiotworzeniu. Jest niezbędna do syntezy porfiryn (np. cytochromów, hemu), przeciwciał i erytrocytów. Stymuluje zaopatrywanie komórek nerwowych w glukozę. Jej aktywna pochodna (fosforan pirydoksalu) jest koenzymem w metabolizmie aminokwasów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Witamina B7, witamina H, biotyna - zawiera układ skondensowanych pierścieni – imidazolidynowego oraz tiolanowego z łańcuchem alkilowym zakończonym grupą karboksylową. Grupa prostetyczna enzymów uczestniczących w glukoneogenezie oraz syntezie kwasów tłuszczowych, glikogenu, hormonów i cholesterolu. Wpływa na właściwy stan włosów, kości i skóry (chroni ją przed łojotokiem).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Witamina B9, kwas foliowy, folacyna - zbudowany jest z kwasu p-aminobenzoesowego,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kwasu glutaminowego i zasady pterydynowej. Cała grupa folianów, do której zalicza się kwas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foliowy, różni się między sobą utlenowaniem pierścienia pterydyny, a także liczbą reszt kwasu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glutaminowego – może być ich od 1 do 11. Uczestniczy w przenoszeniu i metabolizmie reszty jednowęglowej oraz w syntezie choliny, puryn i niektórych aminokwasów. Jest niezbędnym koenzymem w procesie krwiotworzenia w szpiku kostnym. Jest niezbędna do produkcji endorfin. Odpowiada za prawidłowy rozwój układu nerwowego rozwijającego się płodu. Warunkuje efektywną pracę układu odpornościowego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 xml:space="preserve">Witamina B12, kobalamina, cyjanokobalamina – związki z grupy kobalamin, 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Cząsteczka cyjanokobalaminy składa się z czterech sprzężonych pierścieni pirolowych, tworzących pierścień makrocykliczny; W przypadku pochodnych cyjanokobalaminy mogą występować różne ligandy kowalentnie związane z atomem kobaltu nad lub pod strukturą pierścienia makrocyklicznego. Jest niezbędna w procesie krwiotworzenia w szpiku kostnym. Bierze udział w utlenianiu kwasów organicznych w komórce. Jest niezbędna w syntezie kwasów nukleinowych, węglowodanów, a także niektórych lipidów i białek.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Zastosowanie witamin w kosmetykach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C – redukuje przebarwienia, poprawia elastyczność i sprężystość skóry oraz zmniejsza widoczność naczynek krwionośnych; niezbędna w prawidłowej syntezie kolagenu. Wzmacnia skórę głowy i może wpływać na ich porost.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A – wytwarza barierę ochronną ograniczającą utratę wody, zwalcza wolne rodniki, poprawia elastyczność skóry, wygładza drobne zmarszczki, sprzyja syntezie kolagenu w skórze właściwej, wygładza skórę, zmiękcza. Delikatnie złuszcza naskórek, zmniejsza łojotok, oblokowuje zatkane pory i hamuje rozwój bakterii odpowiedzialnych za pojawianie się wyprysków.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E – działa antyoksydacyjnie, poprawia zdolność komórek do wiązania wody, dzięki czemu podnosi poziom nawilżenia, regeneruje skórę, łagodzi podrażnienia, wzmacnia barierę ochronną i zmniejsza szkodliwy wpływ promieni UV.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B – najczęściej wykorzystuje się witaminę B3 i B5; redukuje przebarwienia i wyrównuje koloryt, pobudza syntezę kolagenu, stymuluję produkcję ceramidów, spłyca drobne zmarszczki, redukuje wydzielanie sebum, łagodzi podrażnienia, przyspiesza gojenie się ran i oparzeń, stymuluje podział komórek i namnażanie się fibroblastów, nawilża i zmiękcza, sprzyja powstawaniu tkanki nabłonkowej, która ochrania skórę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D – sprzyja procesom regeneracyjnym, likwiduje szary, zmęczony koloryt skóry, pozwala nadać jej blasku, zmniejsza widoczność porów, przywraca skórze elastyczność, wzmacnia naturalny proces złuszczania się naskórka.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K – redukuje zaczerwienienia, poprawia koloryt skóry z popękanymi naczynkami, wzmacnia proces regeneracji w przypadku oparzeń słonecznych.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Ćwiczenie laboratoryjne: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Krzywa kalibracyjna: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Do 5 kolb Erlenmayera ze szlifem o pojemności 50mL odmierzono kolejno 0, 1, 2, 4 i 6 mL roztworu wzorcowego d-pantenolu o stężeniu 0,25% i dodano metanol do objętości 10 mL. Do każdej kolby dodano po 2 mL CuSO4 oraz po 13 mL roztworu NaOH. Kolby umieszczono w wytrząsarce i wytrząsano przez 30 minut. Po tym czasie roztwory przesączono przez sączek karbowany. W ten sposób otrzymano wzorce d-pantenolu o stężeniach wynoszących kolejno: 0; 0,01; 0,02; 0,04; 0,06%. Zmierzono absorbancję przy długości fali 650 nm.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Wykonanie oznaczenia: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Bezpośrednio do kolby Erlenmayera ze szlifem o pojemności 50 mL odważono ok. 0,5 g próbki (kremu do rąk). Dodano 10 mL metanolu, umieszczono w wytrząsarce i wytrząsano przez 30 minut. Zmierzono absorbancję przy długości fali 650 nm. Z krzywej kalibracyjnej obliczono zawartość d-pantenolu w próbce.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Wyniki: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tbl>
      <w:tblPr>
        <w:tblW w:w="515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41"/>
        <w:gridCol w:w="1138"/>
        <w:gridCol w:w="1281"/>
        <w:gridCol w:w="1279"/>
      </w:tblGrid>
      <w:tr>
        <w:trPr>
          <w:trHeight w:val="256" w:hRule="atLeast"/>
        </w:trPr>
        <w:tc>
          <w:tcPr>
            <w:tcW w:w="1451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Stężenia </w:t>
            </w:r>
            <w:r>
              <w:rPr>
                <w:rFonts w:ascii="Arial" w:hAnsi="Arial"/>
                <w:sz w:val="24"/>
                <w:szCs w:val="24"/>
              </w:rPr>
              <w:t>(%)</w:t>
            </w:r>
          </w:p>
        </w:tc>
        <w:tc>
          <w:tcPr>
            <w:tcW w:w="241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absorbancja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średnio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0,01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0,0345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0,02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0,068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0,069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0,04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0,091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0,1305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0,136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0,164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0,15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Krzywa kalibracyjna: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drawing>
          <wp:inline distT="0" distB="0" distL="0" distR="0">
            <wp:extent cx="5758815" cy="3241675"/>
            <wp:effectExtent l="0" t="0" r="0" b="0"/>
            <wp:docPr id="1" name="Obiek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Obliczenia:</w:t>
        <w:br/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0,684 = 2,569x + 0,01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0,674 = 2,569x</w:t>
      </w:r>
    </w:p>
    <w:p>
      <w:pPr>
        <w:pStyle w:val="Normal"/>
        <w:bidi w:val="0"/>
        <w:jc w:val="left"/>
        <w:rPr>
          <w:rFonts w:ascii="Arial" w:hAnsi="Arial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x = 0,262 (%) → zawartość d-pantenolu w badanej próbce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Gwka">
    <w:name w:val="Header"/>
    <w:basedOn w:val="Gwkaistopka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Kolumna D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Pt>
            <c:idx val="2"/>
            <c:marker>
              <c:symbol val="square"/>
              <c:size val="8"/>
              <c:spPr>
                <a:solidFill>
                  <a:srgbClr val="004586"/>
                </a:solidFill>
              </c:spPr>
            </c:marker>
          </c:dPt>
          <c:dLbls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dLblPos val="r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0"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0.04</c:v>
                </c:pt>
                <c:pt idx="4">
                  <c:v>0.06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0.0345</c:v>
                </c:pt>
                <c:pt idx="2">
                  <c:v>0.069</c:v>
                </c:pt>
                <c:pt idx="3">
                  <c:v>0.1305</c:v>
                </c:pt>
                <c:pt idx="4">
                  <c:v>0.15</c:v>
                </c:pt>
              </c:numCache>
            </c:numRef>
          </c:yVal>
          <c:smooth val="0"/>
        </c:ser>
        <c:axId val="71408150"/>
        <c:axId val="79555190"/>
      </c:scatterChart>
      <c:valAx>
        <c:axId val="7140815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Stężenie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9555190"/>
        <c:crosses val="autoZero"/>
        <c:crossBetween val="midCat"/>
      </c:valAx>
      <c:valAx>
        <c:axId val="7955519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Absorbancja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140815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LibreOffice/7.5.3.2$Linux_X86_64 LibreOffice_project/50$Build-2</Application>
  <AppVersion>15.0000</AppVersion>
  <Pages>3</Pages>
  <Words>857</Words>
  <Characters>5792</Characters>
  <CharactersWithSpaces>6604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2023-06-13T12:26:22Z</dcterms:created>
  <dc:creator/>
  <dc:description/>
  <dc:language>pl-PL</dc:language>
  <cp:lastModifiedBy/>
  <dcterms:modified xsi:type="dcterms:W3CDTF">2023-06-13T13:46:38Z</dcterms:modified>
  <cp:revision>1</cp:revision>
  <dc:subject/>
  <dc:title/>
</cp:coreProperties>
</file>