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Julianna Wisz</w:t>
      </w:r>
    </w:p>
    <w:p>
      <w:pPr>
        <w:pStyle w:val="Normal"/>
        <w:bidi w:val="0"/>
        <w:jc w:val="left"/>
        <w:rPr/>
      </w:pPr>
      <w:r>
        <w:rPr/>
        <w:t>Biokosmetologia gr. 3</w:t>
      </w:r>
    </w:p>
    <w:p>
      <w:pPr>
        <w:pStyle w:val="Normal"/>
        <w:bidi w:val="0"/>
        <w:jc w:val="left"/>
        <w:rPr/>
      </w:pPr>
      <w:r>
        <w:rPr/>
        <w:t>Toksykologia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Oznaczanie fosforanów w wodach powierzchniowych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Zagadnienia: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Źródła zanieczyszczenia wód związkami fosforu - W Polsce przeważająca ilość związków azotu</w:t>
      </w:r>
    </w:p>
    <w:p>
      <w:pPr>
        <w:pStyle w:val="Normal"/>
        <w:bidi w:val="0"/>
        <w:jc w:val="left"/>
        <w:rPr/>
      </w:pPr>
      <w:r>
        <w:rPr/>
        <w:t>i fosforu migrujących do wód powierzchniowych i gruntowych pochodzi z rolnictwa. Szacuje się, że około 50–60% azotu i fosforu dopływającego do morza Bałtyckiego pochodzi z rolniczych</w:t>
      </w:r>
    </w:p>
    <w:p>
      <w:pPr>
        <w:pStyle w:val="Normal"/>
        <w:bidi w:val="0"/>
        <w:jc w:val="left"/>
        <w:rPr/>
      </w:pPr>
      <w:r>
        <w:rPr/>
        <w:t xml:space="preserve">źródeł obszarowych. Fosfor oprócz źródeł obszarowych do środowiska wodnego dostaje się ze źródeł punktowych przez odprowadzanie ścieków z gospodarstw domowych, budynków inwentarskich. </w:t>
      </w:r>
      <w:r>
        <w:rPr/>
        <w:t>Ponadto, n</w:t>
      </w:r>
      <w:r>
        <w:rPr/>
        <w:t>awozy naturalne podczas rozkładu wzbogacają glebę w próchnicę i polepszają jej właściwości, zwiększają także możliwości sorbowania w glebie i powolnego uwalniania fosforu.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Eutrofizacja wód -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Eutrofizacja oznacza przeżyźnienie środowiska morskiego. Zjawisko eutrofizacji zachodzi na skutek zbyt dużych ilości związków azotu i fosforu (zwanych substancjami biogennymi) w wodzie. Duża ilość związków odżywczych powoduje masowy zakwit glonów i sinic. Obumierające glony opadają na dno zbiornika, gdzie ulegają rozkładowi. Do procesu tego zużywany jest tlen zgromadzony w przydennych warstwach wody. Gdy brakuje tlenu, wzrasta ilość bakterii beztlenowych, które kontynuują rozkład, a jednocześnie produkują szkodliwy dla organizmów morskich siarkowodór.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Ćwiczenie laboratoryjne: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Krzywa kalibracyjna: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Przygotowano roztwór roboczy fosforanów: do kolby miarowej (100 mL) wlano 0,25 mL roztworu podstawowego fosforanów (2 mg/mL), dopełniono wodą destylowaną do kreski i dokładnie wymieszano. Do siedmiu kolb miarowych (50 mL) dodano kolejno: 0,0; 0,5; 1,5; 2,5; 3,5; 5,0 i 7,5 mL roboczego roztworu fosforanów, a następnie ok. 15 mL wody destylowanej. Zawartość</w:t>
      </w:r>
    </w:p>
    <w:p>
      <w:pPr>
        <w:pStyle w:val="Normal"/>
        <w:bidi w:val="0"/>
        <w:jc w:val="left"/>
        <w:rPr/>
      </w:pPr>
      <w:r>
        <w:rPr/>
        <w:t>wymieszano. Do każdej z kolb dodano po 1 mL roztworu molibdenianu amonu, zawartość kolb wymieszano. Do każdej z kolb dodano po 0,25 mL roztworu SnCl2. Kolby dopełniono do kreski wodą destylowaną i dokładnie wymieszano. Pomiędzy 10 a 12 minutą od dodania SnCL2 dokonano pomiarów absorbancji przy długości fali 690 nm względem próby zerowej. Na podstawie pomiarów sporządzono krzywą kalibracyjną.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Wykonanie oznaczenia: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 kolby miarowej na 50 mL dodano dokładnie po 25 mL badanej wody. Następnie postępowano jak w punktach 3-5.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stężenie fosforanów w roztworze roboczym: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2mg/mL*0,25mL = C2*100mL</w:t>
      </w:r>
    </w:p>
    <w:p>
      <w:pPr>
        <w:pStyle w:val="Normal"/>
        <w:bidi w:val="0"/>
        <w:jc w:val="left"/>
        <w:rPr/>
      </w:pPr>
      <w:r>
        <w:rPr/>
        <w:t>C2 = 0,005 mg/mL = 5 µg/mL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Krzywa wzorcowa: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3659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869"/>
        <w:gridCol w:w="1537"/>
        <w:gridCol w:w="1253"/>
      </w:tblGrid>
      <w:tr>
        <w:trPr>
          <w:trHeight w:val="256" w:hRule="atLeast"/>
        </w:trPr>
        <w:tc>
          <w:tcPr>
            <w:tcW w:w="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mL r-u</w:t>
            </w:r>
          </w:p>
        </w:tc>
        <w:tc>
          <w:tcPr>
            <w:tcW w:w="15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Stężenie (%)</w:t>
            </w:r>
          </w:p>
        </w:tc>
        <w:tc>
          <w:tcPr>
            <w:tcW w:w="125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absorbancja</w:t>
            </w:r>
          </w:p>
        </w:tc>
      </w:tr>
      <w:tr>
        <w:trPr>
          <w:trHeight w:val="256" w:hRule="atLeast"/>
        </w:trPr>
        <w:tc>
          <w:tcPr>
            <w:tcW w:w="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5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25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0,5</w:t>
            </w:r>
          </w:p>
        </w:tc>
        <w:tc>
          <w:tcPr>
            <w:tcW w:w="15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0,05</w:t>
            </w:r>
          </w:p>
        </w:tc>
        <w:tc>
          <w:tcPr>
            <w:tcW w:w="125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0,002</w:t>
            </w:r>
          </w:p>
        </w:tc>
      </w:tr>
      <w:tr>
        <w:trPr>
          <w:trHeight w:val="256" w:hRule="atLeast"/>
        </w:trPr>
        <w:tc>
          <w:tcPr>
            <w:tcW w:w="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1,5</w:t>
            </w:r>
          </w:p>
        </w:tc>
        <w:tc>
          <w:tcPr>
            <w:tcW w:w="15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0,15</w:t>
            </w:r>
          </w:p>
        </w:tc>
        <w:tc>
          <w:tcPr>
            <w:tcW w:w="125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0,006</w:t>
            </w:r>
          </w:p>
        </w:tc>
      </w:tr>
      <w:tr>
        <w:trPr>
          <w:trHeight w:val="256" w:hRule="atLeast"/>
        </w:trPr>
        <w:tc>
          <w:tcPr>
            <w:tcW w:w="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2,5</w:t>
            </w:r>
          </w:p>
        </w:tc>
        <w:tc>
          <w:tcPr>
            <w:tcW w:w="15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0,25</w:t>
            </w:r>
          </w:p>
        </w:tc>
        <w:tc>
          <w:tcPr>
            <w:tcW w:w="125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0,012</w:t>
            </w:r>
          </w:p>
        </w:tc>
      </w:tr>
      <w:tr>
        <w:trPr>
          <w:trHeight w:val="256" w:hRule="atLeast"/>
        </w:trPr>
        <w:tc>
          <w:tcPr>
            <w:tcW w:w="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3,5</w:t>
            </w:r>
          </w:p>
        </w:tc>
        <w:tc>
          <w:tcPr>
            <w:tcW w:w="15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0,35</w:t>
            </w:r>
          </w:p>
        </w:tc>
        <w:tc>
          <w:tcPr>
            <w:tcW w:w="125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0,02</w:t>
            </w:r>
          </w:p>
        </w:tc>
      </w:tr>
      <w:tr>
        <w:trPr>
          <w:trHeight w:val="256" w:hRule="atLeast"/>
        </w:trPr>
        <w:tc>
          <w:tcPr>
            <w:tcW w:w="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15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0,5</w:t>
            </w:r>
          </w:p>
        </w:tc>
        <w:tc>
          <w:tcPr>
            <w:tcW w:w="125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0,026</w:t>
            </w:r>
          </w:p>
        </w:tc>
      </w:tr>
      <w:tr>
        <w:trPr>
          <w:trHeight w:val="256" w:hRule="atLeast"/>
        </w:trPr>
        <w:tc>
          <w:tcPr>
            <w:tcW w:w="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7,5</w:t>
            </w:r>
          </w:p>
        </w:tc>
        <w:tc>
          <w:tcPr>
            <w:tcW w:w="15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0,75</w:t>
            </w:r>
          </w:p>
        </w:tc>
        <w:tc>
          <w:tcPr>
            <w:tcW w:w="125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0,038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759450" cy="3241040"/>
            <wp:effectExtent l="0" t="0" r="0" b="0"/>
            <wp:docPr id="1" name="Obiekt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wody = 0,010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0,01 = 0,0522x – 0,0004</w:t>
      </w:r>
    </w:p>
    <w:p>
      <w:pPr>
        <w:pStyle w:val="Normal"/>
        <w:bidi w:val="0"/>
        <w:jc w:val="left"/>
        <w:rPr/>
      </w:pPr>
      <w:r>
        <w:rPr/>
        <w:t>0,0104 = 0,0522x</w:t>
      </w:r>
    </w:p>
    <w:p>
      <w:pPr>
        <w:pStyle w:val="Normal"/>
        <w:bidi w:val="0"/>
        <w:jc w:val="left"/>
        <w:rPr/>
      </w:pPr>
      <w:r>
        <w:rPr/>
        <w:t>x = 0,19 (%)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Kolumna B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w="0">
                <a:solidFill>
                  <a:srgbClr val="004586"/>
                </a:solidFill>
              </a:ln>
            </c:spPr>
            <c:trendlineType val="linear"/>
            <c:forward val="0"/>
            <c:backward val="0"/>
            <c:dispRSqr val="1"/>
            <c:dispEq val="1"/>
          </c:trendline>
          <c:xVal>
            <c:numRef>
              <c:f>1</c:f>
              <c:numCache>
                <c:formatCode>General</c:formatCode>
                <c:ptCount val="7"/>
                <c:pt idx="0">
                  <c:v>0</c:v>
                </c:pt>
                <c:pt idx="1">
                  <c:v>0.05</c:v>
                </c:pt>
                <c:pt idx="2">
                  <c:v>0.15</c:v>
                </c:pt>
                <c:pt idx="3">
                  <c:v>0.25</c:v>
                </c:pt>
                <c:pt idx="4">
                  <c:v>0.35</c:v>
                </c:pt>
                <c:pt idx="5">
                  <c:v>0.5</c:v>
                </c:pt>
                <c:pt idx="6">
                  <c:v>0.75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7"/>
                <c:pt idx="0">
                  <c:v>0</c:v>
                </c:pt>
                <c:pt idx="1">
                  <c:v>0.002</c:v>
                </c:pt>
                <c:pt idx="2">
                  <c:v>0.006</c:v>
                </c:pt>
                <c:pt idx="3">
                  <c:v>0.012</c:v>
                </c:pt>
                <c:pt idx="4">
                  <c:v>0.02</c:v>
                </c:pt>
                <c:pt idx="5">
                  <c:v>0.026</c:v>
                </c:pt>
                <c:pt idx="6">
                  <c:v>0.038</c:v>
                </c:pt>
              </c:numCache>
            </c:numRef>
          </c:yVal>
          <c:smooth val="0"/>
        </c:ser>
        <c:axId val="43177943"/>
        <c:axId val="50259614"/>
      </c:scatterChart>
      <c:valAx>
        <c:axId val="4317794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stężenie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0259614"/>
        <c:crosses val="autoZero"/>
        <c:crossBetween val="midCat"/>
      </c:valAx>
      <c:valAx>
        <c:axId val="50259614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absorbancja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3177943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LibreOffice/7.5.3.2$Linux_X86_64 LibreOffice_project/50$Build-2</Application>
  <AppVersion>15.0000</AppVersion>
  <Pages>2</Pages>
  <Words>364</Words>
  <Characters>2197</Characters>
  <CharactersWithSpaces>2514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2023-06-13T15:04:18Z</dcterms:created>
  <dc:creator/>
  <dc:description/>
  <dc:language>pl-PL</dc:language>
  <cp:lastModifiedBy/>
  <dcterms:modified xsi:type="dcterms:W3CDTF">2023-06-17T15:44:19Z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