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dietoterapia</w:t>
      </w:r>
      <w:r>
        <w:t xml:space="preserve"> </w:t>
      </w:r>
      <w:r>
        <w:t xml:space="preserve">zaliczenie</w:t>
      </w:r>
    </w:p>
    <w:p>
      <w:pPr>
        <w:pStyle w:val="Compact"/>
        <w:numPr>
          <w:ilvl w:val="0"/>
          <w:numId w:val="1001"/>
        </w:numPr>
      </w:pPr>
      <w:r>
        <w:t xml:space="preserve">Żywienie dietetyczne i klasyfikacja diet leczniczych.</w:t>
      </w:r>
    </w:p>
    <w:p>
      <w:pPr>
        <w:pStyle w:val="Compact"/>
        <w:numPr>
          <w:ilvl w:val="1"/>
          <w:numId w:val="1002"/>
        </w:numPr>
      </w:pPr>
      <w:r>
        <w:t xml:space="preserve">Dieta niskobiałkowa</w:t>
      </w:r>
    </w:p>
    <w:p>
      <w:pPr>
        <w:pStyle w:val="Compact"/>
        <w:numPr>
          <w:ilvl w:val="2"/>
          <w:numId w:val="1003"/>
        </w:numPr>
      </w:pPr>
      <w:r>
        <w:t xml:space="preserve">20-40g białka na dzień</w:t>
      </w:r>
    </w:p>
    <w:p>
      <w:pPr>
        <w:pStyle w:val="Compact"/>
        <w:numPr>
          <w:ilvl w:val="2"/>
          <w:numId w:val="1003"/>
        </w:numPr>
      </w:pPr>
      <w:r>
        <w:t xml:space="preserve">schorzenia nerek i wątroby</w:t>
      </w:r>
    </w:p>
    <w:p>
      <w:pPr>
        <w:pStyle w:val="Compact"/>
        <w:numPr>
          <w:ilvl w:val="2"/>
          <w:numId w:val="1003"/>
        </w:numPr>
      </w:pPr>
      <w:r>
        <w:t xml:space="preserve">leczenie chorób metabolicznych, np. fenyloketonuria, zaburzenia przemian aminokwasów lub białek</w:t>
      </w:r>
    </w:p>
    <w:p>
      <w:pPr>
        <w:pStyle w:val="Compact"/>
        <w:numPr>
          <w:ilvl w:val="2"/>
          <w:numId w:val="1003"/>
        </w:numPr>
      </w:pPr>
      <w:r>
        <w:t xml:space="preserve">zapobieganie wytwarzaniu w organizmie szkodliwych produktów przemiany białek</w:t>
      </w:r>
    </w:p>
    <w:p>
      <w:pPr>
        <w:pStyle w:val="Compact"/>
        <w:numPr>
          <w:ilvl w:val="1"/>
          <w:numId w:val="1002"/>
        </w:numPr>
      </w:pPr>
      <w:r>
        <w:t xml:space="preserve">Dieta niskoenergetyczna</w:t>
      </w:r>
    </w:p>
    <w:p>
      <w:pPr>
        <w:pStyle w:val="Compact"/>
        <w:numPr>
          <w:ilvl w:val="2"/>
          <w:numId w:val="1004"/>
        </w:numPr>
      </w:pPr>
      <w:r>
        <w:t xml:space="preserve">ok. połowa normalnego zapotrzebowania energetycznego</w:t>
      </w:r>
    </w:p>
    <w:p>
      <w:pPr>
        <w:pStyle w:val="Compact"/>
        <w:numPr>
          <w:ilvl w:val="2"/>
          <w:numId w:val="1004"/>
        </w:numPr>
      </w:pPr>
      <w:r>
        <w:t xml:space="preserve">1000-1500 kcal</w:t>
      </w:r>
    </w:p>
    <w:p>
      <w:pPr>
        <w:pStyle w:val="Compact"/>
        <w:numPr>
          <w:ilvl w:val="2"/>
          <w:numId w:val="1004"/>
        </w:numPr>
      </w:pPr>
      <w:r>
        <w:t xml:space="preserve">otyłość</w:t>
      </w:r>
    </w:p>
    <w:p>
      <w:pPr>
        <w:pStyle w:val="Compact"/>
        <w:numPr>
          <w:ilvl w:val="2"/>
          <w:numId w:val="1004"/>
        </w:numPr>
      </w:pPr>
      <w:r>
        <w:t xml:space="preserve">suplementować niedobory</w:t>
      </w:r>
    </w:p>
    <w:p>
      <w:pPr>
        <w:pStyle w:val="Compact"/>
        <w:numPr>
          <w:ilvl w:val="2"/>
          <w:numId w:val="1004"/>
        </w:numPr>
      </w:pPr>
      <w:r>
        <w:t xml:space="preserve">dużo błonnika - daje uczucie sytości</w:t>
      </w:r>
    </w:p>
    <w:p>
      <w:pPr>
        <w:pStyle w:val="Compact"/>
        <w:numPr>
          <w:ilvl w:val="1"/>
          <w:numId w:val="1002"/>
        </w:numPr>
      </w:pPr>
      <w:r>
        <w:t xml:space="preserve">Diety eliminacyjne</w:t>
      </w:r>
    </w:p>
    <w:p>
      <w:pPr>
        <w:pStyle w:val="Compact"/>
        <w:numPr>
          <w:ilvl w:val="2"/>
          <w:numId w:val="1005"/>
        </w:numPr>
      </w:pPr>
      <w:r>
        <w:t xml:space="preserve">zakładają niespożywanie konkretnego produktu lub grupy produktów</w:t>
      </w:r>
    </w:p>
    <w:p>
      <w:pPr>
        <w:pStyle w:val="Compact"/>
        <w:numPr>
          <w:ilvl w:val="2"/>
          <w:numId w:val="1005"/>
        </w:numPr>
      </w:pPr>
      <w:r>
        <w:t xml:space="preserve">np osoby cierpiące na alergie - spożycie może prowadzić do śmierci</w:t>
      </w:r>
    </w:p>
    <w:p>
      <w:pPr>
        <w:pStyle w:val="Compact"/>
        <w:numPr>
          <w:ilvl w:val="2"/>
          <w:numId w:val="1005"/>
        </w:numPr>
      </w:pPr>
      <w:r>
        <w:t xml:space="preserve">celiakia - unikać glutenu - uszkodzenie kosmków jelitowych</w:t>
      </w:r>
    </w:p>
    <w:p>
      <w:pPr>
        <w:pStyle w:val="Compact"/>
        <w:numPr>
          <w:ilvl w:val="2"/>
          <w:numId w:val="1005"/>
        </w:numPr>
      </w:pPr>
      <w:r>
        <w:t xml:space="preserve">nietolerancja laktozy - sraka</w:t>
      </w:r>
    </w:p>
    <w:p>
      <w:pPr>
        <w:pStyle w:val="Compact"/>
        <w:numPr>
          <w:ilvl w:val="1"/>
          <w:numId w:val="1002"/>
        </w:numPr>
      </w:pPr>
      <w:r>
        <w:t xml:space="preserve">Dieta lekkostrawna</w:t>
      </w:r>
    </w:p>
    <w:p>
      <w:pPr>
        <w:pStyle w:val="Compact"/>
        <w:numPr>
          <w:ilvl w:val="2"/>
          <w:numId w:val="1006"/>
        </w:numPr>
      </w:pPr>
      <w:r>
        <w:t xml:space="preserve">przy chorobach ze strony układu pokarmowego (biegunki, wzdęcia, choroba refluksowa przełyku)</w:t>
      </w:r>
    </w:p>
    <w:p>
      <w:pPr>
        <w:pStyle w:val="Compact"/>
        <w:numPr>
          <w:ilvl w:val="2"/>
          <w:numId w:val="1006"/>
        </w:numPr>
      </w:pPr>
      <w:r>
        <w:t xml:space="preserve">u starszych osób</w:t>
      </w:r>
    </w:p>
    <w:p>
      <w:pPr>
        <w:pStyle w:val="Compact"/>
        <w:numPr>
          <w:ilvl w:val="2"/>
          <w:numId w:val="1006"/>
        </w:numPr>
      </w:pPr>
      <w:r>
        <w:t xml:space="preserve">eliminować pokarm:</w:t>
      </w:r>
    </w:p>
    <w:p>
      <w:pPr>
        <w:pStyle w:val="Compact"/>
        <w:numPr>
          <w:ilvl w:val="3"/>
          <w:numId w:val="1007"/>
        </w:numPr>
      </w:pPr>
      <w:r>
        <w:t xml:space="preserve">wzmagający wydzielanie kwasu żołądkowego</w:t>
      </w:r>
    </w:p>
    <w:p>
      <w:pPr>
        <w:pStyle w:val="Compact"/>
        <w:numPr>
          <w:ilvl w:val="3"/>
          <w:numId w:val="1007"/>
        </w:numPr>
      </w:pPr>
      <w:r>
        <w:t xml:space="preserve">długo zalegający w żołądku</w:t>
      </w:r>
    </w:p>
    <w:p>
      <w:pPr>
        <w:pStyle w:val="Compact"/>
        <w:numPr>
          <w:ilvl w:val="3"/>
          <w:numId w:val="1007"/>
        </w:numPr>
      </w:pPr>
      <w:r>
        <w:t xml:space="preserve">wzdymający (kapusta, warzywa strączkowe)</w:t>
      </w:r>
    </w:p>
    <w:p>
      <w:pPr>
        <w:pStyle w:val="Compact"/>
        <w:numPr>
          <w:ilvl w:val="3"/>
          <w:numId w:val="1007"/>
        </w:numPr>
      </w:pPr>
      <w:r>
        <w:t xml:space="preserve">zawierający zbyt dużo błonnika pokarmowego (prod. z mąki pszennej, nie pełnoziarnistej)</w:t>
      </w:r>
    </w:p>
    <w:p>
      <w:pPr>
        <w:pStyle w:val="Compact"/>
        <w:numPr>
          <w:ilvl w:val="2"/>
          <w:numId w:val="1006"/>
        </w:numPr>
      </w:pPr>
      <w:r>
        <w:t xml:space="preserve">posiłki niewielkie objętościowo (4-5 razy w ciągu dnia, nie poźniej niż 2h przed snem)</w:t>
      </w:r>
    </w:p>
    <w:p>
      <w:pPr>
        <w:pStyle w:val="Compact"/>
        <w:numPr>
          <w:ilvl w:val="0"/>
          <w:numId w:val="1001"/>
        </w:numPr>
      </w:pPr>
      <w:r>
        <w:t xml:space="preserve">Zalecenia żywieniowe w terapii łuszczycy</w:t>
      </w:r>
    </w:p>
    <w:p>
      <w:pPr>
        <w:pStyle w:val="Compact"/>
        <w:numPr>
          <w:ilvl w:val="1"/>
          <w:numId w:val="1008"/>
        </w:numPr>
      </w:pPr>
      <w:r>
        <w:t xml:space="preserve">dieta wegetariańska - produkty bogate w przeciwutleniacze</w:t>
      </w:r>
    </w:p>
    <w:p>
      <w:pPr>
        <w:pStyle w:val="Compact"/>
        <w:numPr>
          <w:ilvl w:val="1"/>
          <w:numId w:val="1008"/>
        </w:numPr>
      </w:pPr>
      <w:r>
        <w:t xml:space="preserve">doustna suplementacja:</w:t>
      </w:r>
    </w:p>
    <w:p>
      <w:pPr>
        <w:pStyle w:val="Compact"/>
        <w:numPr>
          <w:ilvl w:val="2"/>
          <w:numId w:val="1009"/>
        </w:numPr>
      </w:pPr>
      <w:r>
        <w:t xml:space="preserve">koenzymu Q10</w:t>
      </w:r>
    </w:p>
    <w:p>
      <w:pPr>
        <w:pStyle w:val="Compact"/>
        <w:numPr>
          <w:ilvl w:val="2"/>
          <w:numId w:val="1009"/>
        </w:numPr>
      </w:pPr>
      <w:r>
        <w:t xml:space="preserve">witaminy E, D</w:t>
      </w:r>
    </w:p>
    <w:p>
      <w:pPr>
        <w:pStyle w:val="Compact"/>
        <w:numPr>
          <w:ilvl w:val="2"/>
          <w:numId w:val="1009"/>
        </w:numPr>
      </w:pPr>
      <w:r>
        <w:t xml:space="preserve">selenu</w:t>
      </w:r>
    </w:p>
    <w:p>
      <w:pPr>
        <w:pStyle w:val="Compact"/>
        <w:numPr>
          <w:ilvl w:val="2"/>
          <w:numId w:val="1009"/>
        </w:numPr>
      </w:pPr>
      <w:r>
        <w:t xml:space="preserve">kwasu foliowego</w:t>
      </w:r>
    </w:p>
    <w:p>
      <w:pPr>
        <w:pStyle w:val="Compact"/>
        <w:numPr>
          <w:ilvl w:val="1"/>
          <w:numId w:val="1008"/>
        </w:numPr>
      </w:pPr>
      <w:r>
        <w:t xml:space="preserve">wprowadzenie:</w:t>
      </w:r>
    </w:p>
    <w:p>
      <w:pPr>
        <w:pStyle w:val="Compact"/>
        <w:numPr>
          <w:ilvl w:val="2"/>
          <w:numId w:val="1010"/>
        </w:numPr>
      </w:pPr>
      <w:r>
        <w:t xml:space="preserve">zielonej herbaty - polifenole</w:t>
      </w:r>
    </w:p>
    <w:p>
      <w:pPr>
        <w:pStyle w:val="Compact"/>
        <w:numPr>
          <w:ilvl w:val="2"/>
          <w:numId w:val="1010"/>
        </w:numPr>
      </w:pPr>
      <w:r>
        <w:t xml:space="preserve">kawy - kwasy fenolowe</w:t>
      </w:r>
    </w:p>
    <w:p>
      <w:pPr>
        <w:pStyle w:val="Compact"/>
        <w:numPr>
          <w:ilvl w:val="2"/>
          <w:numId w:val="1010"/>
        </w:numPr>
      </w:pPr>
      <w:r>
        <w:t xml:space="preserve">ziół i przypraw:</w:t>
      </w:r>
    </w:p>
    <w:p>
      <w:pPr>
        <w:pStyle w:val="Compact"/>
        <w:numPr>
          <w:ilvl w:val="3"/>
          <w:numId w:val="1011"/>
        </w:numPr>
      </w:pPr>
      <w:r>
        <w:t xml:space="preserve">nagietek lekarski</w:t>
      </w:r>
    </w:p>
    <w:p>
      <w:pPr>
        <w:pStyle w:val="Compact"/>
        <w:numPr>
          <w:ilvl w:val="3"/>
          <w:numId w:val="1011"/>
        </w:numPr>
      </w:pPr>
      <w:r>
        <w:t xml:space="preserve">oregano</w:t>
      </w:r>
    </w:p>
    <w:p>
      <w:pPr>
        <w:pStyle w:val="Compact"/>
        <w:numPr>
          <w:ilvl w:val="3"/>
          <w:numId w:val="1011"/>
        </w:numPr>
      </w:pPr>
      <w:r>
        <w:t xml:space="preserve">dziurawiec zwyczajny</w:t>
      </w:r>
    </w:p>
    <w:p>
      <w:pPr>
        <w:pStyle w:val="Compact"/>
        <w:numPr>
          <w:ilvl w:val="3"/>
          <w:numId w:val="1011"/>
        </w:numPr>
      </w:pPr>
      <w:r>
        <w:t xml:space="preserve">tymianek</w:t>
      </w:r>
    </w:p>
    <w:p>
      <w:pPr>
        <w:pStyle w:val="Compact"/>
        <w:numPr>
          <w:ilvl w:val="3"/>
          <w:numId w:val="1011"/>
        </w:numPr>
      </w:pPr>
      <w:r>
        <w:t xml:space="preserve">koper ogrodowy</w:t>
      </w:r>
    </w:p>
    <w:p>
      <w:pPr>
        <w:pStyle w:val="Compact"/>
        <w:numPr>
          <w:ilvl w:val="3"/>
          <w:numId w:val="1011"/>
        </w:numPr>
      </w:pPr>
      <w:r>
        <w:t xml:space="preserve">cynamon</w:t>
      </w:r>
    </w:p>
    <w:p>
      <w:pPr>
        <w:pStyle w:val="Compact"/>
        <w:numPr>
          <w:ilvl w:val="3"/>
          <w:numId w:val="1011"/>
        </w:numPr>
      </w:pPr>
      <w:r>
        <w:t xml:space="preserve">czosnek</w:t>
      </w:r>
    </w:p>
    <w:p>
      <w:pPr>
        <w:pStyle w:val="Compact"/>
        <w:numPr>
          <w:ilvl w:val="3"/>
          <w:numId w:val="1011"/>
        </w:numPr>
      </w:pPr>
      <w:r>
        <w:t xml:space="preserve">kurkuma</w:t>
      </w:r>
    </w:p>
    <w:p>
      <w:pPr>
        <w:pStyle w:val="Compact"/>
        <w:numPr>
          <w:ilvl w:val="1"/>
          <w:numId w:val="1008"/>
        </w:numPr>
      </w:pPr>
      <w:r>
        <w:t xml:space="preserve">ograniczenie:</w:t>
      </w:r>
    </w:p>
    <w:p>
      <w:pPr>
        <w:pStyle w:val="Compact"/>
        <w:numPr>
          <w:ilvl w:val="2"/>
          <w:numId w:val="1012"/>
        </w:numPr>
      </w:pPr>
      <w:r>
        <w:t xml:space="preserve">tłuszczy nasyconych</w:t>
      </w:r>
    </w:p>
    <w:p>
      <w:pPr>
        <w:pStyle w:val="Compact"/>
        <w:numPr>
          <w:ilvl w:val="2"/>
          <w:numId w:val="1012"/>
        </w:numPr>
      </w:pPr>
      <w:r>
        <w:t xml:space="preserve">cukrów prostych</w:t>
      </w:r>
    </w:p>
    <w:p>
      <w:pPr>
        <w:pStyle w:val="Compact"/>
        <w:numPr>
          <w:ilvl w:val="1"/>
          <w:numId w:val="1008"/>
        </w:numPr>
      </w:pPr>
      <w:r>
        <w:t xml:space="preserve">dużo NNKT, omega-3, antyoksydantów</w:t>
      </w:r>
    </w:p>
    <w:p>
      <w:pPr>
        <w:pStyle w:val="Compact"/>
        <w:numPr>
          <w:ilvl w:val="1"/>
          <w:numId w:val="1008"/>
        </w:numPr>
      </w:pPr>
      <w:r>
        <w:t xml:space="preserve">mięso -&gt; ryby, owoce morza (łosoś, makrela)</w:t>
      </w:r>
    </w:p>
    <w:p>
      <w:pPr>
        <w:pStyle w:val="Compact"/>
        <w:numPr>
          <w:ilvl w:val="1"/>
          <w:numId w:val="1008"/>
        </w:numPr>
      </w:pPr>
      <w:r>
        <w:t xml:space="preserve">tłuszcze:</w:t>
      </w:r>
    </w:p>
    <w:p>
      <w:pPr>
        <w:pStyle w:val="Compact"/>
        <w:numPr>
          <w:ilvl w:val="2"/>
          <w:numId w:val="1013"/>
        </w:numPr>
      </w:pPr>
      <w:r>
        <w:t xml:space="preserve">orzechy</w:t>
      </w:r>
    </w:p>
    <w:p>
      <w:pPr>
        <w:pStyle w:val="Compact"/>
        <w:numPr>
          <w:ilvl w:val="2"/>
          <w:numId w:val="1013"/>
        </w:numPr>
      </w:pPr>
      <w:r>
        <w:t xml:space="preserve">nasiona</w:t>
      </w:r>
    </w:p>
    <w:p>
      <w:pPr>
        <w:pStyle w:val="Compact"/>
        <w:numPr>
          <w:ilvl w:val="2"/>
          <w:numId w:val="1013"/>
        </w:numPr>
      </w:pPr>
      <w:r>
        <w:t xml:space="preserve">oleje rośinne</w:t>
      </w:r>
    </w:p>
    <w:p>
      <w:pPr>
        <w:pStyle w:val="Compact"/>
        <w:numPr>
          <w:ilvl w:val="2"/>
          <w:numId w:val="1013"/>
        </w:numPr>
      </w:pPr>
      <w:r>
        <w:t xml:space="preserve">oliwki</w:t>
      </w:r>
    </w:p>
    <w:p>
      <w:pPr>
        <w:pStyle w:val="Compact"/>
        <w:numPr>
          <w:ilvl w:val="1"/>
          <w:numId w:val="1008"/>
        </w:numPr>
      </w:pPr>
      <w:r>
        <w:t xml:space="preserve">świeże warzywa:</w:t>
      </w:r>
    </w:p>
    <w:p>
      <w:pPr>
        <w:pStyle w:val="Compact"/>
        <w:numPr>
          <w:ilvl w:val="2"/>
          <w:numId w:val="1014"/>
        </w:numPr>
      </w:pPr>
      <w:r>
        <w:t xml:space="preserve">marchew</w:t>
      </w:r>
    </w:p>
    <w:p>
      <w:pPr>
        <w:pStyle w:val="Compact"/>
        <w:numPr>
          <w:ilvl w:val="2"/>
          <w:numId w:val="1014"/>
        </w:numPr>
      </w:pPr>
      <w:r>
        <w:t xml:space="preserve">dynia</w:t>
      </w:r>
    </w:p>
    <w:p>
      <w:pPr>
        <w:pStyle w:val="Compact"/>
        <w:numPr>
          <w:ilvl w:val="2"/>
          <w:numId w:val="1014"/>
        </w:numPr>
      </w:pPr>
      <w:r>
        <w:t xml:space="preserve">szpinak</w:t>
      </w:r>
    </w:p>
    <w:p>
      <w:pPr>
        <w:pStyle w:val="Compact"/>
        <w:numPr>
          <w:ilvl w:val="2"/>
          <w:numId w:val="1014"/>
        </w:numPr>
      </w:pPr>
      <w:r>
        <w:t xml:space="preserve">jarmuż</w:t>
      </w:r>
    </w:p>
    <w:p>
      <w:pPr>
        <w:pStyle w:val="Compact"/>
        <w:numPr>
          <w:ilvl w:val="2"/>
          <w:numId w:val="1014"/>
        </w:numPr>
      </w:pPr>
      <w:r>
        <w:t xml:space="preserve">brokuł</w:t>
      </w:r>
    </w:p>
    <w:p>
      <w:pPr>
        <w:pStyle w:val="Compact"/>
        <w:numPr>
          <w:ilvl w:val="2"/>
          <w:numId w:val="1014"/>
        </w:numPr>
      </w:pPr>
      <w:r>
        <w:t xml:space="preserve">jagody</w:t>
      </w:r>
    </w:p>
    <w:p>
      <w:pPr>
        <w:pStyle w:val="Compact"/>
        <w:numPr>
          <w:ilvl w:val="2"/>
          <w:numId w:val="1014"/>
        </w:numPr>
      </w:pPr>
      <w:r>
        <w:t xml:space="preserve">mango</w:t>
      </w:r>
    </w:p>
    <w:p>
      <w:pPr>
        <w:pStyle w:val="Compact"/>
        <w:numPr>
          <w:ilvl w:val="2"/>
          <w:numId w:val="1014"/>
        </w:numPr>
      </w:pPr>
      <w:r>
        <w:t xml:space="preserve">truskawki</w:t>
      </w:r>
    </w:p>
    <w:p>
      <w:pPr>
        <w:pStyle w:val="Compact"/>
        <w:numPr>
          <w:ilvl w:val="2"/>
          <w:numId w:val="1014"/>
        </w:numPr>
      </w:pPr>
      <w:r>
        <w:t xml:space="preserve">figi</w:t>
      </w:r>
    </w:p>
    <w:p>
      <w:pPr>
        <w:pStyle w:val="Compact"/>
        <w:numPr>
          <w:ilvl w:val="0"/>
          <w:numId w:val="1001"/>
        </w:numPr>
      </w:pPr>
      <w:r>
        <w:t xml:space="preserve">Dieta antyoksydacyjna w wybranej dermatozie</w:t>
      </w:r>
    </w:p>
    <w:p>
      <w:pPr>
        <w:pStyle w:val="Compact"/>
        <w:numPr>
          <w:ilvl w:val="1"/>
          <w:numId w:val="1015"/>
        </w:numPr>
      </w:pPr>
      <w:r>
        <w:t xml:space="preserve">AZS - atopowe zapalenie skóry</w:t>
      </w:r>
    </w:p>
    <w:p>
      <w:pPr>
        <w:pStyle w:val="Compact"/>
        <w:numPr>
          <w:ilvl w:val="1"/>
          <w:numId w:val="1015"/>
        </w:numPr>
      </w:pPr>
      <w:r>
        <w:t xml:space="preserve">unikać:</w:t>
      </w:r>
    </w:p>
    <w:p>
      <w:pPr>
        <w:pStyle w:val="Compact"/>
        <w:numPr>
          <w:ilvl w:val="2"/>
          <w:numId w:val="1016"/>
        </w:numPr>
      </w:pPr>
      <w:r>
        <w:t xml:space="preserve">wysoce przetworzonych zbóż</w:t>
      </w:r>
    </w:p>
    <w:p>
      <w:pPr>
        <w:pStyle w:val="Compact"/>
        <w:numPr>
          <w:ilvl w:val="2"/>
          <w:numId w:val="1016"/>
        </w:numPr>
      </w:pPr>
      <w:r>
        <w:t xml:space="preserve">czerwonego mięsa</w:t>
      </w:r>
    </w:p>
    <w:p>
      <w:pPr>
        <w:pStyle w:val="Compact"/>
        <w:numPr>
          <w:ilvl w:val="2"/>
          <w:numId w:val="1016"/>
        </w:numPr>
      </w:pPr>
      <w:r>
        <w:t xml:space="preserve">tłuszczy trans</w:t>
      </w:r>
    </w:p>
    <w:p>
      <w:pPr>
        <w:pStyle w:val="Compact"/>
        <w:numPr>
          <w:ilvl w:val="2"/>
          <w:numId w:val="1016"/>
        </w:numPr>
      </w:pPr>
      <w:r>
        <w:t xml:space="preserve">żywności przetworzonej</w:t>
      </w:r>
    </w:p>
    <w:p>
      <w:pPr>
        <w:pStyle w:val="Compact"/>
        <w:numPr>
          <w:ilvl w:val="2"/>
          <w:numId w:val="1016"/>
        </w:numPr>
      </w:pPr>
      <w:r>
        <w:t xml:space="preserve">smażonych potraw</w:t>
      </w:r>
    </w:p>
    <w:p>
      <w:pPr>
        <w:pStyle w:val="Compact"/>
        <w:numPr>
          <w:ilvl w:val="2"/>
          <w:numId w:val="1016"/>
        </w:numPr>
      </w:pPr>
      <w:r>
        <w:t xml:space="preserve">cukrów prostych</w:t>
      </w:r>
    </w:p>
    <w:p>
      <w:pPr>
        <w:pStyle w:val="Compact"/>
        <w:numPr>
          <w:ilvl w:val="1"/>
          <w:numId w:val="1015"/>
        </w:numPr>
      </w:pPr>
      <w:r>
        <w:t xml:space="preserve">dieta powinna opierać się na:</w:t>
      </w:r>
    </w:p>
    <w:p>
      <w:pPr>
        <w:pStyle w:val="Compact"/>
        <w:numPr>
          <w:ilvl w:val="2"/>
          <w:numId w:val="1017"/>
        </w:numPr>
      </w:pPr>
      <w:r>
        <w:t xml:space="preserve">niskoprzetworzonej żywności</w:t>
      </w:r>
    </w:p>
    <w:p>
      <w:pPr>
        <w:pStyle w:val="Compact"/>
        <w:numPr>
          <w:ilvl w:val="2"/>
          <w:numId w:val="1017"/>
        </w:numPr>
      </w:pPr>
      <w:r>
        <w:t xml:space="preserve">produktach pełnoziarnistych</w:t>
      </w:r>
    </w:p>
    <w:p>
      <w:pPr>
        <w:pStyle w:val="Compact"/>
        <w:numPr>
          <w:ilvl w:val="2"/>
          <w:numId w:val="1017"/>
        </w:numPr>
      </w:pPr>
      <w:r>
        <w:t xml:space="preserve">świeżych owocach i warzywach - dużo przeciwutleniaczy</w:t>
      </w:r>
    </w:p>
    <w:p>
      <w:pPr>
        <w:pStyle w:val="Compact"/>
        <w:numPr>
          <w:ilvl w:val="2"/>
          <w:numId w:val="1017"/>
        </w:numPr>
      </w:pPr>
      <w:r>
        <w:t xml:space="preserve">zielone warzywa liściaste - szpinak, jarmuż</w:t>
      </w:r>
    </w:p>
    <w:p>
      <w:pPr>
        <w:pStyle w:val="Compact"/>
        <w:numPr>
          <w:ilvl w:val="2"/>
          <w:numId w:val="1017"/>
        </w:numPr>
      </w:pPr>
      <w:r>
        <w:t xml:space="preserve">ciemne owoce, warzywa - polifenole, antocyjany</w:t>
      </w:r>
    </w:p>
    <w:p>
      <w:pPr>
        <w:pStyle w:val="Compact"/>
        <w:numPr>
          <w:ilvl w:val="2"/>
          <w:numId w:val="1017"/>
        </w:numPr>
      </w:pPr>
      <w:r>
        <w:t xml:space="preserve">NNKT - działanie przeciwzapalne i antyoksydacyjne</w:t>
      </w:r>
    </w:p>
    <w:p>
      <w:pPr>
        <w:pStyle w:val="Compact"/>
        <w:numPr>
          <w:ilvl w:val="3"/>
          <w:numId w:val="1018"/>
        </w:numPr>
      </w:pPr>
      <w:r>
        <w:t xml:space="preserve">kwas gamma-linolenowy - olej z wiesiołka, ogórecznika</w:t>
      </w:r>
    </w:p>
    <w:p>
      <w:pPr>
        <w:pStyle w:val="Compact"/>
        <w:numPr>
          <w:ilvl w:val="3"/>
          <w:numId w:val="1018"/>
        </w:numPr>
      </w:pPr>
      <w:r>
        <w:t xml:space="preserve">tłuste ryby (makrela, łosoś, halibut)</w:t>
      </w:r>
    </w:p>
    <w:p>
      <w:pPr>
        <w:pStyle w:val="Compact"/>
        <w:numPr>
          <w:ilvl w:val="3"/>
          <w:numId w:val="1018"/>
        </w:numPr>
      </w:pPr>
      <w:r>
        <w:t xml:space="preserve">siemię lniane</w:t>
      </w:r>
    </w:p>
    <w:p>
      <w:pPr>
        <w:pStyle w:val="Compact"/>
        <w:numPr>
          <w:ilvl w:val="3"/>
          <w:numId w:val="1018"/>
        </w:numPr>
      </w:pPr>
      <w:r>
        <w:t xml:space="preserve">orzechy włoskie, laskowe, migdały pestki dyni</w:t>
      </w:r>
    </w:p>
    <w:p>
      <w:pPr>
        <w:pStyle w:val="Compact"/>
        <w:numPr>
          <w:ilvl w:val="3"/>
          <w:numId w:val="1018"/>
        </w:numPr>
      </w:pPr>
      <w:r>
        <w:t xml:space="preserve">awokado</w:t>
      </w:r>
    </w:p>
    <w:p>
      <w:pPr>
        <w:pStyle w:val="Compact"/>
        <w:numPr>
          <w:ilvl w:val="3"/>
          <w:numId w:val="1018"/>
        </w:numPr>
      </w:pPr>
      <w:r>
        <w:t xml:space="preserve">oleje roślinne (lniany, z czarnuszki, z wiesiołka)</w:t>
      </w:r>
    </w:p>
    <w:p>
      <w:pPr>
        <w:pStyle w:val="Compact"/>
        <w:numPr>
          <w:ilvl w:val="1"/>
          <w:numId w:val="1015"/>
        </w:numPr>
      </w:pPr>
      <w:r>
        <w:t xml:space="preserve">suplementacja:</w:t>
      </w:r>
    </w:p>
    <w:p>
      <w:pPr>
        <w:pStyle w:val="Compact"/>
        <w:numPr>
          <w:ilvl w:val="2"/>
          <w:numId w:val="1019"/>
        </w:numPr>
      </w:pPr>
      <w:r>
        <w:t xml:space="preserve">probiotyki</w:t>
      </w:r>
    </w:p>
    <w:p>
      <w:pPr>
        <w:pStyle w:val="Compact"/>
        <w:numPr>
          <w:ilvl w:val="2"/>
          <w:numId w:val="1019"/>
        </w:numPr>
      </w:pPr>
      <w:r>
        <w:t xml:space="preserve">kwasy tłuszczowe omega-3</w:t>
      </w:r>
    </w:p>
    <w:p>
      <w:pPr>
        <w:pStyle w:val="Compact"/>
        <w:numPr>
          <w:ilvl w:val="2"/>
          <w:numId w:val="1019"/>
        </w:numPr>
      </w:pPr>
      <w:r>
        <w:t xml:space="preserve">kurkumina</w:t>
      </w:r>
    </w:p>
    <w:p>
      <w:pPr>
        <w:pStyle w:val="Compact"/>
        <w:numPr>
          <w:ilvl w:val="2"/>
          <w:numId w:val="1019"/>
        </w:numPr>
      </w:pPr>
      <w:r>
        <w:t xml:space="preserve">witamina A, D, E</w:t>
      </w:r>
    </w:p>
    <w:p>
      <w:pPr>
        <w:pStyle w:val="Compact"/>
        <w:numPr>
          <w:ilvl w:val="2"/>
          <w:numId w:val="1019"/>
        </w:numPr>
      </w:pPr>
      <w:r>
        <w:t xml:space="preserve">koenzym Q10</w:t>
      </w:r>
    </w:p>
    <w:p>
      <w:pPr>
        <w:pStyle w:val="Compact"/>
        <w:numPr>
          <w:ilvl w:val="1"/>
          <w:numId w:val="1015"/>
        </w:numPr>
      </w:pPr>
      <w:r>
        <w:t xml:space="preserve">picie ziół:</w:t>
      </w:r>
    </w:p>
    <w:p>
      <w:pPr>
        <w:pStyle w:val="Compact"/>
        <w:numPr>
          <w:ilvl w:val="2"/>
          <w:numId w:val="1020"/>
        </w:numPr>
      </w:pPr>
      <w:r>
        <w:t xml:space="preserve">rzepik</w:t>
      </w:r>
    </w:p>
    <w:p>
      <w:pPr>
        <w:pStyle w:val="Compact"/>
        <w:numPr>
          <w:ilvl w:val="2"/>
          <w:numId w:val="1020"/>
        </w:numPr>
      </w:pPr>
      <w:r>
        <w:t xml:space="preserve">bez czarny</w:t>
      </w:r>
    </w:p>
    <w:p>
      <w:pPr>
        <w:pStyle w:val="Compact"/>
        <w:numPr>
          <w:ilvl w:val="2"/>
          <w:numId w:val="1020"/>
        </w:numPr>
      </w:pPr>
      <w:r>
        <w:t xml:space="preserve">mniszek lekarski</w:t>
      </w:r>
    </w:p>
    <w:p>
      <w:pPr>
        <w:pStyle w:val="Compact"/>
        <w:numPr>
          <w:ilvl w:val="2"/>
          <w:numId w:val="1020"/>
        </w:numPr>
      </w:pPr>
      <w:r>
        <w:t xml:space="preserve">korzeń cykorii</w:t>
      </w:r>
    </w:p>
    <w:p>
      <w:pPr>
        <w:pStyle w:val="Compact"/>
        <w:numPr>
          <w:ilvl w:val="2"/>
          <w:numId w:val="1020"/>
        </w:numPr>
      </w:pPr>
      <w:r>
        <w:t xml:space="preserve">pokrzywa</w:t>
      </w:r>
    </w:p>
    <w:p>
      <w:pPr>
        <w:pStyle w:val="Compact"/>
        <w:numPr>
          <w:ilvl w:val="2"/>
          <w:numId w:val="1020"/>
        </w:numPr>
      </w:pPr>
      <w:r>
        <w:t xml:space="preserve">dymnica</w:t>
      </w:r>
    </w:p>
    <w:p>
      <w:pPr>
        <w:pStyle w:val="Compact"/>
        <w:numPr>
          <w:ilvl w:val="2"/>
          <w:numId w:val="1020"/>
        </w:numPr>
      </w:pPr>
      <w:r>
        <w:t xml:space="preserve">aksamitka</w:t>
      </w:r>
    </w:p>
    <w:p>
      <w:pPr>
        <w:pStyle w:val="Compact"/>
        <w:numPr>
          <w:ilvl w:val="2"/>
          <w:numId w:val="1020"/>
        </w:numPr>
      </w:pPr>
      <w:r>
        <w:t xml:space="preserve">rumianek</w:t>
      </w:r>
    </w:p>
    <w:p>
      <w:pPr>
        <w:pStyle w:val="Compact"/>
        <w:numPr>
          <w:ilvl w:val="2"/>
          <w:numId w:val="1020"/>
        </w:numPr>
      </w:pPr>
      <w:r>
        <w:t xml:space="preserve">melisa</w:t>
      </w:r>
    </w:p>
    <w:p>
      <w:pPr>
        <w:pStyle w:val="Compact"/>
        <w:numPr>
          <w:ilvl w:val="0"/>
          <w:numId w:val="1001"/>
        </w:numPr>
      </w:pPr>
      <w:r>
        <w:t xml:space="preserve">Witaminy przeciwutleniające – źródła pokarmowe, rola w organizmie i jej związek ze stanem skóry, włosów i paznokci, objawy niedoboru.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Witamina C (kwas askorbinowy):</w:t>
      </w:r>
      <w:r>
        <w:br/>
      </w:r>
      <w:r>
        <w:t xml:space="preserve">- Źródła pokarmowe: cytrusy (pomarańcze, cytryny), kiwi, truskawki, brokuły, papryka czerwona.</w:t>
      </w:r>
      <w:r>
        <w:br/>
      </w:r>
      <w:r>
        <w:t xml:space="preserve">- Rola: uczestniczy w produkcji kolagenu, wspiera odporność, działa przeciwutleniająco.</w:t>
      </w:r>
      <w:r>
        <w:br/>
      </w:r>
      <w:r>
        <w:t xml:space="preserve">- Związek ze skórą, włosami, paznokciami: pomaga w utrzymaniu elastyczności skóry, wzmacnia włosy i paznokcie.</w:t>
      </w:r>
      <w:r>
        <w:br/>
      </w:r>
      <w:r>
        <w:t xml:space="preserve">- Objawy niedoboru: krwawienia dziąseł, osłabienie, suchość i szorstkość skóry.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Witamina E:</w:t>
      </w:r>
      <w:r>
        <w:br/>
      </w:r>
      <w:r>
        <w:t xml:space="preserve">- Źródła pokarmowe: oleje roślinne (np. olej słonecznikowy), orzechy, nasiona, szpinak.</w:t>
      </w:r>
      <w:r>
        <w:br/>
      </w:r>
      <w:r>
        <w:t xml:space="preserve">- Rola: chroni komórki przed uszkodzeniem, wspomaga regenerację tkanek.</w:t>
      </w:r>
      <w:r>
        <w:br/>
      </w:r>
      <w:r>
        <w:t xml:space="preserve">- Związek ze skórą, włosami, paznokciami: poprawia elastyczność skóry, wspiera zdrowe włosy i paznokcie.</w:t>
      </w:r>
      <w:r>
        <w:br/>
      </w:r>
      <w:r>
        <w:t xml:space="preserve">- Objawy niedoboru: suchość skóry, łamliwe paznokcie.</w:t>
      </w:r>
      <w:r>
        <w:br/>
      </w:r>
      <w:r>
        <w:t xml:space="preserve">4.</w:t>
      </w:r>
      <w:r>
        <w:t xml:space="preserve"> </w:t>
      </w:r>
      <w:r>
        <w:rPr>
          <w:b/>
          <w:bCs/>
        </w:rPr>
        <w:t xml:space="preserve">Witamina A:</w:t>
      </w:r>
      <w:r>
        <w:br/>
      </w:r>
      <w:r>
        <w:t xml:space="preserve">- Źródła pokarmowe: wątróbka, jajka</w:t>
      </w:r>
      <w:r>
        <w:br/>
      </w:r>
      <w:r>
        <w:t xml:space="preserve">- Rola: niezbędna do regeneracji komórek, utrzymania zdrowej skóry i błon śluzowych.</w:t>
      </w:r>
      <w:r>
        <w:br/>
      </w:r>
      <w:r>
        <w:t xml:space="preserve">- Związek ze skórą, włosami, paznokciami: wpływa na produkcję sebum, utrzymuje nawilżenie skóry, poprawia kondycję włosów i paznokci.</w:t>
      </w:r>
      <w:r>
        <w:br/>
      </w:r>
      <w:r>
        <w:t xml:space="preserve">- Objawy niedoboru: suchość i łuszczenie się skóry, problemy ze wzrokiem.</w:t>
      </w:r>
      <w:r>
        <w:br/>
      </w:r>
      <w:r>
        <w:t xml:space="preserve">5. Węglowodany w diecie a stan skóry - czy istnieje związek?</w:t>
      </w:r>
      <w:r>
        <w:br/>
      </w:r>
      <w:r>
        <w:t xml:space="preserve">- Węglowodany są głównym źródłem energii w diecie.</w:t>
      </w:r>
      <w:r>
        <w:br/>
      </w:r>
      <w:r>
        <w:t xml:space="preserve">- Węglowodany dzielą się na złożone (np. pełnoziarniste pieczywo, kasze) i proste.</w:t>
      </w:r>
      <w:r>
        <w:br/>
      </w:r>
      <w:r>
        <w:t xml:space="preserve">- Nadmierne spożycie cukrów prostych może pogorszyć stan skóry.</w:t>
      </w:r>
      <w:r>
        <w:br/>
      </w:r>
      <w:r>
        <w:t xml:space="preserve">- Produkty o wysokim indeksie glikemicznym (IG) i ładunku glikemicznym (ŁG) mogą prowadzić do hiperinsulinemii i hiperglikemii.</w:t>
      </w:r>
      <w:r>
        <w:br/>
      </w:r>
      <w:r>
        <w:t xml:space="preserve">- Wzrost poziomu insuliny we krwi związany z nadmiarem cukru może prowadzić do stanów zapalnych, wyprysków i trudności w leczeniu zmian skórnych.</w:t>
      </w:r>
      <w:r>
        <w:br/>
      </w:r>
      <w:r>
        <w:t xml:space="preserve">- Wzrost poziomu cukru we krwi może pobudzać podziały komórkowe w gruczołach łojowych, prowadząc do zatkania ujść.</w:t>
      </w:r>
      <w:r>
        <w:br/>
      </w:r>
      <w:r>
        <w:t xml:space="preserve">- Wysokie spożycie cukrów może prowadzić do glikacji białek, co powoduje niszczenie białek budulcowych skóry, takich jak kolagen i elastyna.</w:t>
      </w:r>
      <w:r>
        <w:br/>
      </w:r>
      <w:r>
        <w:t xml:space="preserve">- Skutek to utrata jędrności skóry, pojawianie się zmarszczek, a proces starzenia zachodzi szybciej.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dietoterapia zaliczenie</dc:title>
  <dc:creator/>
  <cp:keywords/>
  <dcterms:created xsi:type="dcterms:W3CDTF">2024-01-30T12:19:49Z</dcterms:created>
  <dcterms:modified xsi:type="dcterms:W3CDTF">2024-01-30T12:19:49Z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