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№6</w:t>
      </w:r>
    </w:p>
    <w:p>
      <w:pPr>
        <w:pStyle w:val="Subtitle"/>
      </w:pPr>
      <w:r>
        <w:t xml:space="preserve">Практикум по научному письму</w:t>
      </w:r>
    </w:p>
    <w:p>
      <w:pPr>
        <w:pStyle w:val="Author"/>
      </w:pPr>
      <w:r>
        <w:t xml:space="preserve">Колчева Юлия Вячеславовна</w:t>
      </w:r>
    </w:p>
    <w:bookmarkStart w:id="9" w:name="цель-работы"/>
    <w:p>
      <w:pPr>
        <w:pStyle w:val="Heading1"/>
      </w:pPr>
      <w:r>
        <w:t xml:space="preserve">Цель работы</w:t>
      </w:r>
    </w:p>
    <w:p>
      <w:pPr>
        <w:pStyle w:val="FirstParagraph"/>
      </w:pPr>
      <w:r>
        <w:t xml:space="preserve">Познакомиться с языком LaTeX, продолжить изучение его возможностей.</w:t>
      </w:r>
    </w:p>
    <w:bookmarkEnd w:id="9"/>
    <w:bookmarkStart w:id="10" w:name="задание"/>
    <w:p>
      <w:pPr>
        <w:pStyle w:val="Heading1"/>
      </w:pPr>
      <w:r>
        <w:t xml:space="preserve">Задание</w:t>
      </w:r>
    </w:p>
    <w:p>
      <w:pPr>
        <w:pStyle w:val="Compact"/>
        <w:numPr>
          <w:ilvl w:val="0"/>
          <w:numId w:val="1001"/>
        </w:numPr>
      </w:pPr>
      <w:r>
        <w:t xml:space="preserve">Запустить несколько различных программ, изучить новый пакет для работы с графикой и новые команды языка.</w:t>
      </w:r>
    </w:p>
    <w:bookmarkEnd w:id="10"/>
    <w:bookmarkStart w:id="23" w:name="выполнение-лабораторной-работы"/>
    <w:p>
      <w:pPr>
        <w:pStyle w:val="Heading1"/>
      </w:pPr>
      <w:r>
        <w:t xml:space="preserve">Выполнение лабораторной работы</w:t>
      </w:r>
    </w:p>
    <w:p>
      <w:pPr>
        <w:pStyle w:val="FirstParagraph"/>
      </w:pPr>
      <w:r>
        <w:t xml:space="preserve">Начинаем работать с новым пакетом. Справочные базы данных обычно называют «файлами BibTeX», и они имеют расширение bib. Они содержат одну или несколько записей, по одной на каждую ссылку, и в каждой записи есть несколько полей. Созданим файл с таким расширением и заполним его. (рис.</w:t>
      </w:r>
      <w:r>
        <w:t xml:space="preserve"> </w:t>
      </w:r>
      <w:r>
        <w:t xml:space="preserve">[</w:t>
      </w:r>
      <w:r>
        <w:rPr>
          <w:b/>
          <w:bCs/>
        </w:rPr>
        <w:t xml:space="preserve">fig:001?</w:t>
      </w:r>
      <w:r>
        <w:t xml:space="preserve">]</w:t>
      </w:r>
      <w:r>
        <w:t xml:space="preserve"> </w:t>
      </w:r>
      <w:r>
        <w:t xml:space="preserve">)</w:t>
      </w:r>
    </w:p>
    <w:bookmarkStart w:id="14" w:name="fig:001"/>
    <w:p>
      <w:pPr>
        <w:pStyle w:val="CaptionedFigure"/>
      </w:pPr>
      <w:r>
        <w:drawing>
          <wp:inline>
            <wp:extent cx="3733800" cy="2154115"/>
            <wp:effectExtent b="0" l="0" r="0" t="0"/>
            <wp:docPr descr="Программа 1" title="" id="12" name="Picture"/>
            <a:graphic>
              <a:graphicData uri="http://schemas.openxmlformats.org/drawingml/2006/picture">
                <pic:pic>
                  <pic:nvPicPr>
                    <pic:cNvPr descr="image/1.png" id="13" name="Picture"/>
                    <pic:cNvPicPr>
                      <a:picLocks noChangeArrowheads="1" noChangeAspect="1"/>
                    </pic:cNvPicPr>
                  </pic:nvPicPr>
                  <pic:blipFill>
                    <a:blip r:embed="rId11"/>
                    <a:stretch>
                      <a:fillRect/>
                    </a:stretch>
                  </pic:blipFill>
                  <pic:spPr bwMode="auto">
                    <a:xfrm>
                      <a:off x="0" y="0"/>
                      <a:ext cx="3733800" cy="2154115"/>
                    </a:xfrm>
                    <a:prstGeom prst="rect">
                      <a:avLst/>
                    </a:prstGeom>
                    <a:noFill/>
                    <a:ln w="9525">
                      <a:noFill/>
                      <a:headEnd/>
                      <a:tailEnd/>
                    </a:ln>
                  </pic:spPr>
                </pic:pic>
              </a:graphicData>
            </a:graphic>
          </wp:inline>
        </w:drawing>
      </w:r>
    </w:p>
    <w:p>
      <w:pPr>
        <w:pStyle w:val="ImageCaption"/>
      </w:pPr>
      <w:r>
        <w:t xml:space="preserve">Программа 1</w:t>
      </w:r>
    </w:p>
    <w:bookmarkEnd w:id="14"/>
    <w:p>
      <w:pPr>
        <w:pStyle w:val="BodyText"/>
      </w:pPr>
      <w:r>
        <w:t xml:space="preserve">Будем использовать пакет natbib, который позволяет создавать различные типы цитирования и предлагает множество стилей. Базовая структура нашего ввода показана в этом примере. (рис.</w:t>
      </w:r>
      <w:r>
        <w:t xml:space="preserve"> </w:t>
      </w:r>
      <w:r>
        <w:t xml:space="preserve">[</w:t>
      </w:r>
      <w:r>
        <w:rPr>
          <w:b/>
          <w:bCs/>
        </w:rPr>
        <w:t xml:space="preserve">fig:002?</w:t>
      </w:r>
      <w:r>
        <w:t xml:space="preserve">]</w:t>
      </w:r>
      <w:r>
        <w:t xml:space="preserve"> </w:t>
      </w:r>
      <w:r>
        <w:t xml:space="preserve">)</w:t>
      </w:r>
    </w:p>
    <w:bookmarkStart w:id="18" w:name="fig:002"/>
    <w:p>
      <w:pPr>
        <w:pStyle w:val="CaptionedFigure"/>
      </w:pPr>
      <w:r>
        <w:drawing>
          <wp:inline>
            <wp:extent cx="3733800" cy="1705341"/>
            <wp:effectExtent b="0" l="0" r="0" t="0"/>
            <wp:docPr descr="Программа 2" title="" id="16" name="Picture"/>
            <a:graphic>
              <a:graphicData uri="http://schemas.openxmlformats.org/drawingml/2006/picture">
                <pic:pic>
                  <pic:nvPicPr>
                    <pic:cNvPr descr="image/2.png" id="17" name="Picture"/>
                    <pic:cNvPicPr>
                      <a:picLocks noChangeArrowheads="1" noChangeAspect="1"/>
                    </pic:cNvPicPr>
                  </pic:nvPicPr>
                  <pic:blipFill>
                    <a:blip r:embed="rId15"/>
                    <a:stretch>
                      <a:fillRect/>
                    </a:stretch>
                  </pic:blipFill>
                  <pic:spPr bwMode="auto">
                    <a:xfrm>
                      <a:off x="0" y="0"/>
                      <a:ext cx="3733800" cy="1705341"/>
                    </a:xfrm>
                    <a:prstGeom prst="rect">
                      <a:avLst/>
                    </a:prstGeom>
                    <a:noFill/>
                    <a:ln w="9525">
                      <a:noFill/>
                      <a:headEnd/>
                      <a:tailEnd/>
                    </a:ln>
                  </pic:spPr>
                </pic:pic>
              </a:graphicData>
            </a:graphic>
          </wp:inline>
        </w:drawing>
      </w:r>
    </w:p>
    <w:p>
      <w:pPr>
        <w:pStyle w:val="ImageCaption"/>
      </w:pPr>
      <w:r>
        <w:t xml:space="preserve">Программа 2</w:t>
      </w:r>
    </w:p>
    <w:bookmarkEnd w:id="18"/>
    <w:p>
      <w:pPr>
        <w:pStyle w:val="BodyText"/>
      </w:pPr>
      <w:r>
        <w:t xml:space="preserve">Пакет biblatex работает немного иначе, чем natbib: мы выбираем базы данных в преамбуле, но выводим их в основном тексте документа. Для этого есть несколько новых команд. Покажем на данном примере (рис.</w:t>
      </w:r>
      <w:r>
        <w:t xml:space="preserve"> </w:t>
      </w:r>
      <w:r>
        <w:t xml:space="preserve">[</w:t>
      </w:r>
      <w:r>
        <w:rPr>
          <w:b/>
          <w:bCs/>
        </w:rPr>
        <w:t xml:space="preserve">fig:003?</w:t>
      </w:r>
      <w:r>
        <w:t xml:space="preserve">]</w:t>
      </w:r>
      <w:r>
        <w:t xml:space="preserve"> </w:t>
      </w:r>
      <w:r>
        <w:t xml:space="preserve">)</w:t>
      </w:r>
    </w:p>
    <w:bookmarkStart w:id="22" w:name="fig:003"/>
    <w:p>
      <w:pPr>
        <w:pStyle w:val="CaptionedFigure"/>
      </w:pPr>
      <w:r>
        <w:drawing>
          <wp:inline>
            <wp:extent cx="3733800" cy="1489929"/>
            <wp:effectExtent b="0" l="0" r="0" t="0"/>
            <wp:docPr descr="Программа 3" title="" id="20" name="Picture"/>
            <a:graphic>
              <a:graphicData uri="http://schemas.openxmlformats.org/drawingml/2006/picture">
                <pic:pic>
                  <pic:nvPicPr>
                    <pic:cNvPr descr="image/3.png" id="21" name="Picture"/>
                    <pic:cNvPicPr>
                      <a:picLocks noChangeArrowheads="1" noChangeAspect="1"/>
                    </pic:cNvPicPr>
                  </pic:nvPicPr>
                  <pic:blipFill>
                    <a:blip r:embed="rId19"/>
                    <a:stretch>
                      <a:fillRect/>
                    </a:stretch>
                  </pic:blipFill>
                  <pic:spPr bwMode="auto">
                    <a:xfrm>
                      <a:off x="0" y="0"/>
                      <a:ext cx="3733800" cy="1489929"/>
                    </a:xfrm>
                    <a:prstGeom prst="rect">
                      <a:avLst/>
                    </a:prstGeom>
                    <a:noFill/>
                    <a:ln w="9525">
                      <a:noFill/>
                      <a:headEnd/>
                      <a:tailEnd/>
                    </a:ln>
                  </pic:spPr>
                </pic:pic>
              </a:graphicData>
            </a:graphic>
          </wp:inline>
        </w:drawing>
      </w:r>
    </w:p>
    <w:p>
      <w:pPr>
        <w:pStyle w:val="ImageCaption"/>
      </w:pPr>
      <w:r>
        <w:t xml:space="preserve">Программа 3</w:t>
      </w:r>
    </w:p>
    <w:bookmarkEnd w:id="22"/>
    <w:p>
      <w:pPr>
        <w:pStyle w:val="BodyText"/>
      </w:pPr>
      <w:r>
        <w:t xml:space="preserve">Несмотря на то, что и BibTeX, и biblatex получают входные данные в виде файлов BibTeX и могут создавать в документе структурно схожие выходные данные, они используют совершенно разные способы для получения этого результата. Это означает, что между этими двумя подходами есть некоторые различия, которые могут помочь выбрать наиболее подходящий вариант.</w:t>
      </w:r>
    </w:p>
    <w:p>
      <w:pPr>
        <w:pStyle w:val="BodyText"/>
      </w:pPr>
      <w:r>
        <w:t xml:space="preserve">Программы работают верно.</w:t>
      </w:r>
    </w:p>
    <w:bookmarkEnd w:id="23"/>
    <w:bookmarkStart w:id="24" w:name="выводы"/>
    <w:p>
      <w:pPr>
        <w:pStyle w:val="Heading1"/>
      </w:pPr>
      <w:r>
        <w:t xml:space="preserve">Выводы</w:t>
      </w:r>
    </w:p>
    <w:p>
      <w:pPr>
        <w:pStyle w:val="FirstParagraph"/>
      </w:pPr>
      <w:r>
        <w:t xml:space="preserve">Познакомилась с языком LaTeX, продолжила изучение его возможностей.</w:t>
      </w:r>
    </w:p>
    <w:bookmarkEnd w:id="24"/>
    <w:bookmarkStart w:id="25" w:name="список-литературы"/>
    <w:p>
      <w:pPr>
        <w:pStyle w:val="Heading1"/>
      </w:pPr>
      <w:r>
        <w:t xml:space="preserve">Список литературы</w:t>
      </w:r>
    </w:p>
    <w:p>
      <w:pPr>
        <w:pStyle w:val="FirstParagraph"/>
      </w:pPr>
      <w:r>
        <w:t xml:space="preserve">Лабораторная работа №6</w:t>
      </w:r>
      <w:r>
        <w:t xml:space="preserve"> </w:t>
      </w:r>
      <w:r>
        <w:t xml:space="preserve">Практикум по научному письму [Электронный ресурс]. URL: https://esystem.rudn.ru/pluginfile.php/2862317/mod_folder/content/0/Practical-scientific-writing.pdf</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Колчева Юлия Вячеславовна</dc:creator>
  <dc:language>ru-RU</dc:language>
  <cp:keywords/>
  <dcterms:created xsi:type="dcterms:W3CDTF">2025-11-08T13:07:46Z</dcterms:created>
  <dcterms:modified xsi:type="dcterms:W3CDTF">2025-11-08T13:07:46Z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Title">
    <vt:lpwstr>Список иллюстраций</vt:lpwstr>
  </property>
  <property fmtid="{D5CDD505-2E9C-101B-9397-08002B2CF9AE}" pid="17" name="lolTitle">
    <vt:lpwstr>Листинги</vt:lpwstr>
  </property>
  <property fmtid="{D5CDD505-2E9C-101B-9397-08002B2CF9AE}" pid="18" name="mainfont">
    <vt:lpwstr>IBM Plex Serif</vt:lpwstr>
  </property>
  <property fmtid="{D5CDD505-2E9C-101B-9397-08002B2CF9AE}" pid="19" name="mainfontoptions">
    <vt:lpwstr>Ligatures=Common,Ligatures=TeX,Scale=0.94</vt:lpwstr>
  </property>
  <property fmtid="{D5CDD505-2E9C-101B-9397-08002B2CF9AE}" pid="20" name="mathfont">
    <vt:lpwstr>STIX Two Math</vt:lpwstr>
  </property>
  <property fmtid="{D5CDD505-2E9C-101B-9397-08002B2CF9AE}" pid="21" name="mathfontoptions">
    <vt:lpwstr/>
  </property>
  <property fmtid="{D5CDD505-2E9C-101B-9397-08002B2CF9AE}" pid="22" name="monofont">
    <vt:lpwstr>IBM Plex Mono</vt:lpwstr>
  </property>
  <property fmtid="{D5CDD505-2E9C-101B-9397-08002B2CF9AE}" pid="23" name="monofontoptions">
    <vt:lpwstr>Scale=MatchLowercase,Scale=0.94,FakeStretch=0.9</vt:lpwstr>
  </property>
  <property fmtid="{D5CDD505-2E9C-101B-9397-08002B2CF9AE}" pid="24" name="papersize">
    <vt:lpwstr>a4</vt:lpwstr>
  </property>
  <property fmtid="{D5CDD505-2E9C-101B-9397-08002B2CF9AE}" pid="25" name="polyglossia-lang">
    <vt:lpwstr/>
  </property>
  <property fmtid="{D5CDD505-2E9C-101B-9397-08002B2CF9AE}" pid="26" name="polyglossia-otherlangs">
    <vt:lpwstr/>
  </property>
  <property fmtid="{D5CDD505-2E9C-101B-9397-08002B2CF9AE}" pid="27" name="romanfont">
    <vt:lpwstr>IBM Plex Serif</vt:lpwstr>
  </property>
  <property fmtid="{D5CDD505-2E9C-101B-9397-08002B2CF9AE}" pid="28" name="romanfontoptions">
    <vt:lpwstr>Ligatures=Common,Ligatures=TeX,Scale=0.94</vt:lpwstr>
  </property>
  <property fmtid="{D5CDD505-2E9C-101B-9397-08002B2CF9AE}" pid="29" name="sansfont">
    <vt:lpwstr>IBM Plex Sans</vt:lpwstr>
  </property>
  <property fmtid="{D5CDD505-2E9C-101B-9397-08002B2CF9AE}" pid="30" name="sansfontoptions">
    <vt:lpwstr>Ligatures=Common,Ligatures=TeX,Scale=MatchLowercase,Scale=0.94</vt:lpwstr>
  </property>
  <property fmtid="{D5CDD505-2E9C-101B-9397-08002B2CF9AE}" pid="31" name="subtitle">
    <vt:lpwstr>Практикум по научному письму</vt:lpwstr>
  </property>
  <property fmtid="{D5CDD505-2E9C-101B-9397-08002B2CF9AE}" pid="32" name="toc-title">
    <vt:lpwstr>Содержание</vt:lpwstr>
  </property>
</Properties>
</file>