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</w:t>
      </w:r>
    </w:p>
    <w:p>
      <w:pPr>
        <w:pStyle w:val="BodyText"/>
      </w:pPr>
      <w:r>
        <w:t xml:space="preserve">Ci = Pi XOR Ki, где Ci - i-й символ зашифрованного текста, Pi - i-й символ открытого 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• длина открытого текста равна длине ключа</w:t>
      </w:r>
    </w:p>
    <w:p>
      <w:pPr>
        <w:pStyle w:val="BodyText"/>
      </w:pPr>
      <w:r>
        <w:t xml:space="preserve">• ключ должен использоваться однократно</w:t>
      </w:r>
    </w:p>
    <w:p>
      <w:pPr>
        <w:pStyle w:val="BodyText"/>
      </w:pPr>
      <w:r>
        <w:t xml:space="preserve">• ключ должен быть полностью случаен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гаммирования.(рис. [??])</w:t>
      </w:r>
    </w:p>
    <w:p>
      <w:pPr>
        <w:pStyle w:val="CaptionedFigure"/>
      </w:pPr>
      <w:r>
        <w:drawing>
          <wp:inline>
            <wp:extent cx="3733800" cy="2304173"/>
            <wp:effectExtent b="0" l="0" r="0" t="0"/>
            <wp:docPr descr="Код программ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1-2 строки: импорт необходимых библиотек</w:t>
      </w:r>
    </w:p>
    <w:p>
      <w:pPr>
        <w:pStyle w:val="BodyText"/>
      </w:pPr>
      <w:r>
        <w:t xml:space="preserve">4-10 строки: функция, реализующая сложение по модулю два двух строк</w:t>
      </w:r>
    </w:p>
    <w:p>
      <w:pPr>
        <w:pStyle w:val="BodyText"/>
      </w:pPr>
      <w:r>
        <w:t xml:space="preserve">12: строка открытый/исходный текст</w:t>
      </w:r>
    </w:p>
    <w:p>
      <w:pPr>
        <w:pStyle w:val="BodyText"/>
      </w:pPr>
      <w:r>
        <w:t xml:space="preserve">14-15: создание ключа той же длины, что и открытый текст</w:t>
      </w:r>
    </w:p>
    <w:p>
      <w:pPr>
        <w:pStyle w:val="BodyText"/>
      </w:pPr>
      <w:r>
        <w:t xml:space="preserve">20: получение шифротекста с помощию функции, созданной ранее, при условии, что известны открытый текст и ключ</w:t>
      </w:r>
    </w:p>
    <w:p>
      <w:pPr>
        <w:pStyle w:val="BodyText"/>
      </w:pPr>
      <w:r>
        <w:t xml:space="preserve">22: получение открытого текста с помощью функции, созданной ранее, при условии, что известны шифротекст и ключ</w:t>
      </w:r>
    </w:p>
    <w:p>
      <w:pPr>
        <w:pStyle w:val="BodyText"/>
      </w:pPr>
      <w:r>
        <w:t xml:space="preserve">23: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p>
      <w:pPr>
        <w:pStyle w:val="BodyText"/>
      </w:pPr>
      <w:r>
        <w:t xml:space="preserve">Результат работы программы можно увидеть на следующем скриншоте (рис. [??])</w:t>
      </w:r>
    </w:p>
    <w:p>
      <w:pPr>
        <w:pStyle w:val="CaptionedFigure"/>
      </w:pPr>
      <w:r>
        <w:drawing>
          <wp:inline>
            <wp:extent cx="3733800" cy="1151492"/>
            <wp:effectExtent b="0" l="0" r="0" t="0"/>
            <wp:docPr descr="Результат работ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</w:t>
      </w:r>
    </w:p>
    <w:p>
      <w:pPr>
        <w:pStyle w:val="BodyText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rudn.ru/pluginfile.php/1651639/mod_resource/content/2/007-lab_cryptogamma.pdf.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Колчева Юлия Вячеславовна</dc:creator>
  <dc:language>ru-RU</dc:language>
  <cp:keywords/>
  <dcterms:created xsi:type="dcterms:W3CDTF">2023-10-16T10:08:55Z</dcterms:created>
  <dcterms:modified xsi:type="dcterms:W3CDTF">2023-10-16T10:08:55Z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