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b32645294c705db3483921bef87536283370e61"/>
    <w:p>
      <w:pPr>
        <w:pStyle w:val="Heading1"/>
      </w:pPr>
      <w:r>
        <w:t xml:space="preserve">Report 2: CGP Metrics Evaluated by CMS/Reimbursement</w:t>
      </w:r>
    </w:p>
    <w:p>
      <w:pPr>
        <w:pStyle w:val="FirstParagraph"/>
      </w:pPr>
      <w:r>
        <w:t xml:space="preserve">This report outlines the specific metrics and evidentiary standards used by CMS (specifically the MolDX program) to evaluate Comprehensive Genomic Profiling (CGP) tests for reimbursement.</w:t>
      </w:r>
    </w:p>
    <w:bookmarkStart w:id="13" w:name="Xd43749e57ff786630585aaf661e3b44ba3d326f"/>
    <w:p>
      <w:pPr>
        <w:pStyle w:val="Heading2"/>
      </w:pPr>
      <w:r>
        <w:t xml:space="preserve">1. Key Evaluation Metrics (The ACCE Framework)</w:t>
      </w:r>
    </w:p>
    <w:p>
      <w:pPr>
        <w:pStyle w:val="FirstParagraph"/>
      </w:pPr>
      <w:r>
        <w:t xml:space="preserve">MolDX uses the</w:t>
      </w:r>
      <w:r>
        <w:t xml:space="preserve"> </w:t>
      </w:r>
      <w:r>
        <w:rPr>
          <w:b/>
          <w:bCs/>
        </w:rPr>
        <w:t xml:space="preserve">ACCE Framework</w:t>
      </w:r>
      <w:r>
        <w:t xml:space="preserve"> </w:t>
      </w:r>
      <w:r>
        <w:t xml:space="preserve">(Analytical Validity, Clinical Validity, Clinical Utility, and ELSI) to determine if a test is</w:t>
      </w:r>
      <w:r>
        <w:t xml:space="preserve"> </w:t>
      </w:r>
      <w:r>
        <w:t xml:space="preserve">“Reasonable and Necessary.”</w:t>
      </w:r>
    </w:p>
    <w:bookmarkStart w:id="9" w:name="X0e726c92a2754bc547aefa6a04d372ad720fd95"/>
    <w:p>
      <w:pPr>
        <w:pStyle w:val="Heading3"/>
      </w:pPr>
      <w:r>
        <w:t xml:space="preserve">A. Analytical Validity (AV):</w:t>
      </w:r>
      <w:r>
        <w:t xml:space="preserve"> </w:t>
      </w:r>
      <w:r>
        <w:t xml:space="preserve">“Does the test measure what it claims to?”</w:t>
      </w:r>
    </w:p>
    <w:p>
      <w:pPr>
        <w:pStyle w:val="FirstParagraph"/>
      </w:pPr>
      <w:r>
        <w:t xml:space="preserve">CMS requires proof that the test is accurate, reliable, and reproducible in the laboratory setting.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Key Metrics: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1. Accuracy (Overall Concordance):</w:t>
      </w:r>
      <w:r>
        <w:t xml:space="preserve"> </w:t>
      </w:r>
      <w:r>
        <w:t xml:space="preserve">“How often is the test right?”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Formula:</w:t>
      </w:r>
      <w:r>
        <w:t xml:space="preserve"> </w:t>
      </w:r>
      <m:oMath>
        <m:f>
          <m:fPr>
            <m:type m:val="bar"/>
          </m:fPr>
          <m:num>
            <m:r>
              <m:rPr>
                <m:nor/>
                <m:sty m:val="p"/>
              </m:rPr>
              <m:t>TP</m:t>
            </m:r>
            <m:r>
              <m:rPr>
                <m:sty m:val="p"/>
              </m:rPr>
              <m:t>+</m:t>
            </m:r>
            <m:r>
              <m:rPr>
                <m:nor/>
                <m:sty m:val="p"/>
              </m:rPr>
              <m:t>TN</m:t>
            </m:r>
          </m:num>
          <m:den>
            <m:r>
              <m:rPr>
                <m:nor/>
                <m:sty m:val="p"/>
              </m:rPr>
              <m:t>Total Positions Evaluated</m:t>
            </m:r>
          </m:den>
        </m:f>
      </m:oMath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Note:</w:t>
      </w:r>
      <w:r>
        <w:t xml:space="preserve"> </w:t>
      </w:r>
      <w:r>
        <w:t xml:space="preserve">In NGS, this is dominated by True Negatives (TN) because most of the genome is normal. It is often &gt;99.99% and less useful than PPA/NPA.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2. Sensitivity (</w:t>
      </w:r>
      <m:oMath>
        <m:r>
          <m:rPr>
            <m:sty m:val="p"/>
          </m:rPr>
          <m:t>≈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PPA):</w:t>
      </w:r>
      <w:r>
        <w:t xml:space="preserve"> </w:t>
      </w:r>
      <w:r>
        <w:t xml:space="preserve">“If a mutation exists, do we find it?”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Formula:</w:t>
      </w:r>
      <w:r>
        <w:t xml:space="preserve"> </w:t>
      </w:r>
      <m:oMath>
        <m:f>
          <m:fPr>
            <m:type m:val="bar"/>
          </m:fPr>
          <m:num>
            <m:r>
              <m:rPr>
                <m:nor/>
                <m:sty m:val="p"/>
              </m:rPr>
              <m:t>TP</m:t>
            </m:r>
          </m:num>
          <m:den>
            <m:r>
              <m:rPr>
                <m:nor/>
                <m:sty m:val="p"/>
              </m:rPr>
              <m:t>TP</m:t>
            </m:r>
            <m:r>
              <m:rPr>
                <m:sty m:val="p"/>
              </m:rPr>
              <m:t>+</m:t>
            </m:r>
            <m:r>
              <m:rPr>
                <m:nor/>
                <m:sty m:val="p"/>
              </m:rPr>
              <m:t>FN</m:t>
            </m:r>
          </m:den>
        </m:f>
      </m:oMath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Numerator:</w:t>
      </w:r>
      <w:r>
        <w:t xml:space="preserve"> </w:t>
      </w:r>
      <w:r>
        <w:t xml:space="preserve">Variants found by BOTH your test and the Gold Standard.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Denominator:</w:t>
      </w:r>
      <w:r>
        <w:t xml:space="preserve"> </w:t>
      </w:r>
      <w:r>
        <w:t xml:space="preserve">All variants known to exist in the Gold Standard.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3. Specificity (</w:t>
      </w:r>
      <m:oMath>
        <m:r>
          <m:rPr>
            <m:sty m:val="p"/>
          </m:rPr>
          <m:t>≈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NPA):</w:t>
      </w:r>
      <w:r>
        <w:t xml:space="preserve"> </w:t>
      </w:r>
      <w:r>
        <w:t xml:space="preserve">“If it’s normal, do we call it normal?”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Formula:</w:t>
      </w:r>
      <w:r>
        <w:t xml:space="preserve"> </w:t>
      </w:r>
      <m:oMath>
        <m:f>
          <m:fPr>
            <m:type m:val="bar"/>
          </m:fPr>
          <m:num>
            <m:r>
              <m:rPr>
                <m:nor/>
                <m:sty m:val="p"/>
              </m:rPr>
              <m:t>TN</m:t>
            </m:r>
          </m:num>
          <m:den>
            <m:r>
              <m:rPr>
                <m:nor/>
                <m:sty m:val="p"/>
              </m:rPr>
              <m:t>TN</m:t>
            </m:r>
            <m:r>
              <m:rPr>
                <m:sty m:val="p"/>
              </m:rPr>
              <m:t>+</m:t>
            </m:r>
            <m:r>
              <m:rPr>
                <m:nor/>
                <m:sty m:val="p"/>
              </m:rPr>
              <m:t>FP</m:t>
            </m:r>
          </m:den>
        </m:f>
      </m:oMath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Numerator:</w:t>
      </w:r>
      <w:r>
        <w:t xml:space="preserve"> </w:t>
      </w:r>
      <w:r>
        <w:t xml:space="preserve">Positions called</w:t>
      </w:r>
      <w:r>
        <w:t xml:space="preserve"> </w:t>
      </w:r>
      <w:r>
        <w:t xml:space="preserve">“Normal”</w:t>
      </w:r>
      <w:r>
        <w:t xml:space="preserve"> </w:t>
      </w:r>
      <w:r>
        <w:t xml:space="preserve">by BOTH.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Denominator:</w:t>
      </w:r>
      <w:r>
        <w:t xml:space="preserve"> </w:t>
      </w:r>
      <w:r>
        <w:t xml:space="preserve">All positions known to be Normal in the Gold Standard.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4. Limit of Detection (LoD):</w:t>
      </w:r>
      <w:r>
        <w:t xml:space="preserve"> </w:t>
      </w:r>
      <w:r>
        <w:t xml:space="preserve">The lowest Allele Frequency (VAF) the test can reliably detect (e.g., 5% VAF).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Methodology (Serial Dilutions):</w:t>
      </w:r>
      <w:r>
        <w:t xml:space="preserve"> </w:t>
      </w:r>
      <w:r>
        <w:t xml:space="preserve">Validated by mixing a</w:t>
      </w:r>
      <w:r>
        <w:t xml:space="preserve"> </w:t>
      </w:r>
      <w:r>
        <w:t xml:space="preserve">“High Positive”</w:t>
      </w:r>
      <w:r>
        <w:t xml:space="preserve"> </w:t>
      </w:r>
      <w:r>
        <w:t xml:space="preserve">sample with a</w:t>
      </w:r>
      <w:r>
        <w:t xml:space="preserve"> </w:t>
      </w:r>
      <w:r>
        <w:t xml:space="preserve">“Negative/Wild-Type”</w:t>
      </w:r>
      <w:r>
        <w:t xml:space="preserve"> </w:t>
      </w:r>
      <w:r>
        <w:t xml:space="preserve">sample at specific ratios.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Standard Dilution Series:</w:t>
      </w:r>
      <w:r>
        <w:t xml:space="preserve"> </w:t>
      </w:r>
      <w:r>
        <w:t xml:space="preserve">20%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10%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5%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2.5%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1.25%.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Goal:</w:t>
      </w:r>
      <w:r>
        <w:t xml:space="preserve"> </w:t>
      </w:r>
      <w:r>
        <w:t xml:space="preserve">Find the lowest VAF where you still detect the variant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95% of the time (e.g., in 19 out of 20 replicates).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5. Precision:</w:t>
      </w:r>
      <w:r>
        <w:t xml:space="preserve"> </w:t>
      </w:r>
      <w:r>
        <w:t xml:space="preserve">Reproducibility (Inter-run/Intra-run).</w:t>
      </w:r>
    </w:p>
    <w:bookmarkEnd w:id="9"/>
    <w:bookmarkStart w:id="10" w:name="X356de28bdfb0edea00920207269a7de77e343b5"/>
    <w:p>
      <w:pPr>
        <w:pStyle w:val="Heading3"/>
      </w:pPr>
      <w:r>
        <w:t xml:space="preserve">B. Clinical Validity (CV):</w:t>
      </w:r>
      <w:r>
        <w:t xml:space="preserve"> </w:t>
      </w:r>
      <w:r>
        <w:t xml:space="preserve">“Does the result correlate with a disease state?”</w:t>
      </w:r>
    </w:p>
    <w:p>
      <w:pPr>
        <w:pStyle w:val="FirstParagraph"/>
      </w:pPr>
      <w:r>
        <w:t xml:space="preserve">CMS requires proof that the genetic variants detected are clinically meaningful.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Requirement:</w:t>
      </w:r>
      <w:r>
        <w:t xml:space="preserve"> </w:t>
      </w:r>
      <w:r>
        <w:t xml:space="preserve">The test must detect variants that are:</w:t>
      </w:r>
      <w:r>
        <w:t xml:space="preserve"> </w:t>
      </w:r>
      <w:r>
        <w:t xml:space="preserve">* Known</w:t>
      </w:r>
      <w:r>
        <w:t xml:space="preserve"> </w:t>
      </w:r>
      <w:r>
        <w:t xml:space="preserve">“drivers”</w:t>
      </w:r>
      <w:r>
        <w:t xml:space="preserve"> </w:t>
      </w:r>
      <w:r>
        <w:t xml:space="preserve">of the disease.</w:t>
      </w:r>
      <w:r>
        <w:t xml:space="preserve"> </w:t>
      </w:r>
      <w:r>
        <w:t xml:space="preserve">* Predictive of therapy response (e.g.,</w:t>
      </w:r>
      <w:r>
        <w:t xml:space="preserve"> </w:t>
      </w:r>
      <w:r>
        <w:rPr>
          <w:i/>
          <w:iCs/>
        </w:rPr>
        <w:t xml:space="preserve">EGFR</w:t>
      </w:r>
      <w:r>
        <w:t xml:space="preserve"> </w:t>
      </w:r>
      <w:r>
        <w:t xml:space="preserve">mutations for Osimertinib).</w:t>
      </w:r>
      <w:r>
        <w:t xml:space="preserve"> </w:t>
      </w:r>
      <w:r>
        <w:t xml:space="preserve">* Prognostic of outcomes.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Citations from peer-reviewed literature or guidelines (NCCN, ASCO) linking specific variants to specific cancer types.</w:t>
      </w:r>
      <w:r>
        <w:t xml:space="preserve"> </w:t>
      </w:r>
      <w:r>
        <w:rPr>
          <w:i/>
          <w:iCs/>
        </w:rPr>
        <w:t xml:space="preserve">Note:</w:t>
      </w:r>
      <w:r>
        <w:rPr>
          <w:i/>
          <w:iCs/>
        </w:rPr>
        <w:t xml:space="preserve"> </w:t>
      </w:r>
      <w:r>
        <w:rPr>
          <w:i/>
          <w:iCs/>
        </w:rPr>
        <w:t xml:space="preserve">“Pan-Cancer”</w:t>
      </w:r>
      <w:r>
        <w:rPr>
          <w:i/>
          <w:iCs/>
        </w:rPr>
        <w:t xml:space="preserve"> </w:t>
      </w:r>
      <w:r>
        <w:rPr>
          <w:i/>
          <w:iCs/>
        </w:rPr>
        <w:t xml:space="preserve">claims require validation across multiple representative tumor types.</w:t>
      </w:r>
    </w:p>
    <w:bookmarkEnd w:id="10"/>
    <w:bookmarkStart w:id="11" w:name="Xb12ec84d7279c5c085ee1d635f5764604b7cd94"/>
    <w:p>
      <w:pPr>
        <w:pStyle w:val="Heading3"/>
      </w:pPr>
      <w:r>
        <w:t xml:space="preserve">C. Clinical Utility (CU):</w:t>
      </w:r>
      <w:r>
        <w:t xml:space="preserve"> </w:t>
      </w:r>
      <w:r>
        <w:t xml:space="preserve">“Does using the test improve patient care?”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hardest hurdle</w:t>
      </w:r>
      <w:r>
        <w:t xml:space="preserve">. CMS will only pay if the test result actively changes medical management.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Requirement:</w:t>
      </w:r>
      <w:r>
        <w:t xml:space="preserve"> </w:t>
      </w:r>
      <w:r>
        <w:t xml:space="preserve">* The test must guide a physician to a specific therapy, clinical trial, or palliative care decision.</w:t>
      </w:r>
      <w:r>
        <w:t xml:space="preserve"> </w:t>
      </w:r>
      <w:r>
        <w:t xml:space="preserve">* Evidence that testing leads to better health outcomes compared to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testing (or using standard single-gene tests).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Exclusion:</w:t>
      </w:r>
      <w:r>
        <w:t xml:space="preserve"> </w:t>
      </w:r>
      <w:r>
        <w:t xml:space="preserve">“Curiosity”</w:t>
      </w:r>
      <w:r>
        <w:t xml:space="preserve"> </w:t>
      </w:r>
      <w:r>
        <w:t xml:space="preserve">testing (informational only) is</w:t>
      </w:r>
      <w:r>
        <w:t xml:space="preserve"> </w:t>
      </w:r>
      <w:r>
        <w:rPr>
          <w:b/>
          <w:bCs/>
        </w:rPr>
        <w:t xml:space="preserve">not covered</w:t>
      </w:r>
      <w:r>
        <w:t xml:space="preserve">.</w:t>
      </w:r>
    </w:p>
    <w:bookmarkEnd w:id="11"/>
    <w:bookmarkStart w:id="12" w:name="X0113b86b1ef25fa348d2769e5d08acb6a76523c"/>
    <w:p>
      <w:pPr>
        <w:pStyle w:val="Heading3"/>
      </w:pPr>
      <w:r>
        <w:t xml:space="preserve">D. Case Studies: How Major Players Proved Clinical Utility &amp; Got Paid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Strategy &amp; Key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&amp; Reimbursement (CMS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Foundation Medicine (F1CDx)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FDA-CMS Parallel Review:</w:t>
            </w:r>
            <w:r>
              <w:t xml:space="preserve"> </w:t>
            </w:r>
            <w:r>
              <w:t xml:space="preserve">First to use this pilot. Submitted one massive dossier to both agencies.</w:t>
            </w:r>
            <w:r>
              <w:rPr>
                <w:b/>
                <w:bCs/>
              </w:rPr>
              <w:t xml:space="preserve">Evidence:</w:t>
            </w:r>
            <w:r>
              <w:t xml:space="preserve"> </w:t>
            </w:r>
            <w:r>
              <w:t xml:space="preserve">Validated on</w:t>
            </w:r>
            <w:r>
              <w:t xml:space="preserve"> </w:t>
            </w:r>
            <w:r>
              <w:rPr>
                <w:b/>
                <w:bCs/>
              </w:rPr>
              <w:t xml:space="preserve">&gt;30,000 samples</w:t>
            </w:r>
            <w:r>
              <w:t xml:space="preserve"> </w:t>
            </w:r>
            <w:r>
              <w:t xml:space="preserve">demonstrating matching to therapies.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First FDA-Approved CGP.</w:t>
            </w:r>
            <w:r>
              <w:t xml:space="preserve">Automatic National Coverage.</w:t>
            </w:r>
            <w:r>
              <w:t xml:space="preserve">Defined NCD 90.2 path.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CPT 0037U</w:t>
            </w:r>
            <w:r>
              <w:rPr>
                <w:b/>
                <w:bCs/>
              </w:rPr>
              <w:t xml:space="preserve">~$3,500</w:t>
            </w:r>
            <w:r>
              <w:t xml:space="preserve">(Standard ADLT Rate)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Frampton et al., Nature Biotechnology 2013</w:t>
            </w:r>
            <w:r>
              <w:t xml:space="preserve">(</w:t>
            </w:r>
            <w:r>
              <w:t xml:space="preserve">“The validation of FoundationOne CDx”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Guardant Health (Guardant360)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Liquid Biopsy Pioneer:</w:t>
            </w:r>
            <w:r>
              <w:t xml:space="preserve"> </w:t>
            </w:r>
            <w:r>
              <w:t xml:space="preserve">Focused on</w:t>
            </w:r>
            <w:r>
              <w:t xml:space="preserve"> </w:t>
            </w:r>
            <w:r>
              <w:t xml:space="preserve">“Tissue Issue”</w:t>
            </w:r>
            <w:r>
              <w:t xml:space="preserve">—proving utility when tissue biopsy fails (NSCLC).</w:t>
            </w:r>
            <w:r>
              <w:rPr>
                <w:b/>
                <w:bCs/>
              </w:rPr>
              <w:t xml:space="preserve">Bridging Studies:</w:t>
            </w:r>
            <w:r>
              <w:t xml:space="preserve"> </w:t>
            </w:r>
            <w:r>
              <w:t xml:space="preserve">Showed high concordance with tissue to prove non-inferiority.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First FDA-Approved Liquid CDx.</w:t>
            </w:r>
            <w:r>
              <w:t xml:space="preserve">Secured high rate via ADLT status.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CPT 0326U / 0239U</w:t>
            </w:r>
            <w:r>
              <w:rPr>
                <w:b/>
                <w:bCs/>
              </w:rPr>
              <w:t xml:space="preserve">~$5,000</w:t>
            </w:r>
            <w:r>
              <w:t xml:space="preserve">(Initial ADLT Market Rate)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Leighl et al., Clin Cancer Res 2019</w:t>
            </w:r>
            <w:r>
              <w:t xml:space="preserve">(NILE Study: Non-invasive vs Invasive Lung Evaluation)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Caris Life Sciences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Retrospective RWE:</w:t>
            </w:r>
            <w:r>
              <w:t xml:space="preserve"> </w:t>
            </w:r>
            <w:r>
              <w:t xml:space="preserve">Leveraged massive biobank to publish studies showing</w:t>
            </w:r>
            <w:r>
              <w:t xml:space="preserve"> </w:t>
            </w:r>
            <w:r>
              <w:rPr>
                <w:b/>
                <w:bCs/>
              </w:rPr>
              <w:t xml:space="preserve">Overall Survival (OS)</w:t>
            </w:r>
            <w:r>
              <w:t xml:space="preserve"> </w:t>
            </w:r>
            <w:r>
              <w:t xml:space="preserve">benefit for profiled patients.</w:t>
            </w:r>
            <w:r>
              <w:rPr>
                <w:b/>
                <w:bCs/>
              </w:rPr>
              <w:t xml:space="preserve">Tech:</w:t>
            </w:r>
            <w:r>
              <w:t xml:space="preserve"> </w:t>
            </w:r>
            <w:r>
              <w:t xml:space="preserve">WES + WTS (DNA + RNA) advantage.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Coverage for WES/Transcriptome.</w:t>
            </w:r>
            <w:r>
              <w:t xml:space="preserve">Proved utility of RNA fusions.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PLA 0211U</w:t>
            </w:r>
            <w:r>
              <w:rPr>
                <w:b/>
                <w:bCs/>
              </w:rPr>
              <w:t xml:space="preserve">~$8,455</w:t>
            </w:r>
            <w:r>
              <w:t xml:space="preserve">(Higher rate for DNA + RNA)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Spetzler et al. (ASCO 2016)</w:t>
            </w:r>
            <w:r>
              <w:rPr>
                <w:i/>
                <w:iCs/>
              </w:rPr>
              <w:t xml:space="preserve">Haslem et al., Oncotarget 2016</w:t>
            </w:r>
            <w:r>
              <w:t xml:space="preserve">(Impact of MI on Survival in Ovarian Cancer)</w:t>
            </w:r>
          </w:p>
        </w:tc>
      </w:tr>
    </w:tbl>
    <w:bookmarkEnd w:id="12"/>
    <w:bookmarkEnd w:id="13"/>
    <w:bookmarkStart w:id="16" w:name="data-requirements-acquisition"/>
    <w:p>
      <w:pPr>
        <w:pStyle w:val="Heading2"/>
      </w:pPr>
      <w:r>
        <w:t xml:space="preserve">2. Data Requirements &amp; Acquisition</w:t>
      </w:r>
    </w:p>
    <w:p>
      <w:pPr>
        <w:pStyle w:val="FirstParagraph"/>
      </w:pPr>
      <w:r>
        <w:t xml:space="preserve">To get paid, a lab must go through the</w:t>
      </w:r>
      <w:r>
        <w:t xml:space="preserve"> </w:t>
      </w:r>
      <w:r>
        <w:rPr>
          <w:b/>
          <w:bCs/>
        </w:rPr>
        <w:t xml:space="preserve">MolDX Technical Assessment (TA)</w:t>
      </w:r>
      <w:r>
        <w:t xml:space="preserve"> </w:t>
      </w:r>
      <w:r>
        <w:t xml:space="preserve">process.</w:t>
      </w:r>
    </w:p>
    <w:bookmarkStart w:id="14" w:name="required-data-dossier"/>
    <w:p>
      <w:pPr>
        <w:pStyle w:val="Heading3"/>
      </w:pPr>
      <w:r>
        <w:t xml:space="preserve">Required Data Dossier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Validation Summary Report:</w:t>
      </w:r>
      <w:r>
        <w:t xml:space="preserve"> </w:t>
      </w:r>
      <w:r>
        <w:t xml:space="preserve">A comprehensive internal document detailing the AV study (samples used, method, results).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Sample Size:</w:t>
      </w:r>
      <w:r>
        <w:t xml:space="preserve"> </w:t>
      </w:r>
      <w:r>
        <w:t xml:space="preserve">Guidelines often suggest</w:t>
      </w:r>
      <w:r>
        <w:t xml:space="preserve"> </w:t>
      </w:r>
      <w:r>
        <w:rPr>
          <w:b/>
          <w:bCs/>
        </w:rPr>
        <w:t xml:space="preserve">&gt;59 samples</w:t>
      </w:r>
      <w:r>
        <w:t xml:space="preserve"> </w:t>
      </w:r>
      <w:r>
        <w:t xml:space="preserve">representative of the tumor types and variant classes being tested.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Sample-Level Data:</w:t>
      </w:r>
      <w:r>
        <w:t xml:space="preserve"> </w:t>
      </w:r>
      <w:r>
        <w:t xml:space="preserve">Excel spreadsheets showing the raw comparison of the test vs. the reference method (Gold Standard) for every sample.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Clinical Evidence:</w:t>
      </w:r>
      <w:r>
        <w:t xml:space="preserve"> </w:t>
      </w:r>
      <w:r>
        <w:t xml:space="preserve">A bibliography or clinical study summary demonstrating CV and CU.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SOPs:</w:t>
      </w:r>
      <w:r>
        <w:t xml:space="preserve"> </w:t>
      </w:r>
      <w:r>
        <w:t xml:space="preserve">Standard Operating Procedures for the wet lab and bioinformatics pipeline.</w:t>
      </w:r>
    </w:p>
    <w:bookmarkEnd w:id="14"/>
    <w:bookmarkStart w:id="15" w:name="acquisition-methods"/>
    <w:p>
      <w:pPr>
        <w:pStyle w:val="Heading3"/>
      </w:pPr>
      <w:r>
        <w:t xml:space="preserve">Acquisition Methods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Internal Validation Study:</w:t>
      </w:r>
      <w:r>
        <w:t xml:space="preserve"> </w:t>
      </w:r>
      <w:r>
        <w:t xml:space="preserve">The lab must run known samples (cell lines + clinical samples confirmed by another method) to generate the AV data.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Clinical Studies/Trials:</w:t>
      </w:r>
      <w:r>
        <w:t xml:space="preserve"> </w:t>
      </w:r>
      <w:r>
        <w:t xml:space="preserve">For Clinical Utility, labs often rely on existing literature (Level 1 Evidence) or must run their own prospective/retrospective utility study if the test is novel.</w:t>
      </w:r>
    </w:p>
    <w:bookmarkEnd w:id="15"/>
    <w:bookmarkEnd w:id="16"/>
    <w:bookmarkStart w:id="17" w:name="timeline-for-reimbursement"/>
    <w:p>
      <w:pPr>
        <w:pStyle w:val="Heading2"/>
      </w:pPr>
      <w:r>
        <w:t xml:space="preserve">3. Timeline for Reimbursement</w:t>
      </w:r>
    </w:p>
    <w:p>
      <w:pPr>
        <w:pStyle w:val="FirstParagraph"/>
      </w:pPr>
      <w:r>
        <w:t xml:space="preserve">The process is lengthy and distinct from FDA approval.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 Z-Code 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test with the DEX Diagnostics Exchange to get a Z-Code identifier.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~2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 Technical Assessment (TA)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the full dossier (AV/CV/CU data) to MolDX for review.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~3-4 Weeks</w:t>
            </w:r>
            <w:r>
              <w:t xml:space="preserve"> </w:t>
            </w:r>
            <w:r>
              <w:t xml:space="preserve">(Standard)</w:t>
            </w:r>
            <w:r>
              <w:rPr>
                <w:b/>
                <w:bCs/>
              </w:rPr>
              <w:t xml:space="preserve">~60 Days</w:t>
            </w:r>
            <w:r>
              <w:t xml:space="preserve"> </w:t>
            </w:r>
            <w:r>
              <w:t xml:space="preserve">(Complex/Additional Info needed)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 Coverage Determination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MolDX determines if the test meets LCD (Local Coverage Determination) criteria.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(Concurrent with 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 Pricing/Gapfill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CMS determines the payment rate (if no existing code fits).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Cycle (Summer/Fall)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Estimated Time:</w:t>
      </w:r>
      <w:r>
        <w:t xml:space="preserve"> </w:t>
      </w:r>
      <w:r>
        <w:t xml:space="preserve">From validation completion to first paid claim ~</w:t>
      </w:r>
      <w:r>
        <w:t xml:space="preserve"> </w:t>
      </w:r>
      <w:r>
        <w:rPr>
          <w:b/>
          <w:bCs/>
        </w:rPr>
        <w:t xml:space="preserve">3 to 6 months</w:t>
      </w:r>
      <w:r>
        <w:t xml:space="preserve"> </w:t>
      </w:r>
      <w:r>
        <w:t xml:space="preserve">(best case), assuming the test falls under an existing LCD policy.</w:t>
      </w:r>
    </w:p>
    <w:p>
      <w:pPr>
        <w:pStyle w:val="BodyText"/>
      </w:pPr>
      <w:r>
        <w:rPr>
          <w:b/>
          <w:bCs/>
        </w:rPr>
        <w:t xml:space="preserve">Key Note:</w:t>
      </w:r>
      <w:r>
        <w:t xml:space="preserve"> </w:t>
      </w:r>
      <w:r>
        <w:t xml:space="preserve">The Z-code is mandatory. Without it, claims will be automatically rejected.</w:t>
      </w:r>
    </w:p>
    <w:bookmarkEnd w:id="17"/>
    <w:bookmarkStart w:id="18" w:name="appendix-key-clinical-utility-references"/>
    <w:p>
      <w:pPr>
        <w:pStyle w:val="Heading2"/>
      </w:pPr>
      <w:r>
        <w:t xml:space="preserve">Appendix: Key Clinical Utility References</w:t>
      </w:r>
    </w:p>
    <w:p>
      <w:pPr>
        <w:pStyle w:val="FirstParagraph"/>
      </w:pPr>
      <w:r>
        <w:t xml:space="preserve">The following papers are considered the</w:t>
      </w:r>
      <w:r>
        <w:t xml:space="preserve"> </w:t>
      </w:r>
      <w:r>
        <w:t xml:space="preserve">“Foundational Evidence”</w:t>
      </w:r>
      <w:r>
        <w:t xml:space="preserve"> </w:t>
      </w:r>
      <w:r>
        <w:t xml:space="preserve">that established reimbursement for modern CGP.</w:t>
      </w:r>
    </w:p>
    <w:p>
      <w:pPr>
        <w:pStyle w:val="BodyText"/>
      </w:pPr>
      <w:r>
        <w:rPr>
          <w:b/>
          <w:bCs/>
        </w:rPr>
        <w:t xml:space="preserve">1. Foundation Medicine (The</w:t>
      </w:r>
      <w:r>
        <w:rPr>
          <w:b/>
          <w:bCs/>
        </w:rPr>
        <w:t xml:space="preserve"> </w:t>
      </w:r>
      <w:r>
        <w:rPr>
          <w:b/>
          <w:bCs/>
        </w:rPr>
        <w:t xml:space="preserve">“Validation”</w:t>
      </w:r>
      <w:r>
        <w:rPr>
          <w:b/>
          <w:bCs/>
        </w:rPr>
        <w:t xml:space="preserve"> </w:t>
      </w:r>
      <w:r>
        <w:rPr>
          <w:b/>
          <w:bCs/>
        </w:rPr>
        <w:t xml:space="preserve">Paper)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Citation:</w:t>
      </w:r>
      <w:r>
        <w:t xml:space="preserve"> </w:t>
      </w:r>
      <w:r>
        <w:t xml:space="preserve">Frampton GM, Fichtenholtz A, Otto GA, et al. </w:t>
      </w:r>
      <w:r>
        <w:rPr>
          <w:i/>
          <w:iCs/>
        </w:rPr>
        <w:t xml:space="preserve">Development and validation of a clinical cancer genomic profiling test based on massively parallel DNA sequencing.</w:t>
      </w:r>
      <w:r>
        <w:t xml:space="preserve"> </w:t>
      </w:r>
      <w:r>
        <w:rPr>
          <w:b/>
          <w:bCs/>
        </w:rPr>
        <w:t xml:space="preserve">Nature Biotechnology</w:t>
      </w:r>
      <w:r>
        <w:t xml:space="preserve">. 2013;31(11):1023–1031.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Significance:</w:t>
      </w:r>
      <w:r>
        <w:t xml:space="preserve"> </w:t>
      </w:r>
      <w:r>
        <w:t xml:space="preserve">This paper provided the massive analytical validation (accuracy, sensitivity) data onthousands of samples that formed the backbone of their FDA submission and subsequent NCD 90.2 approval.</w:t>
      </w:r>
    </w:p>
    <w:p>
      <w:pPr>
        <w:pStyle w:val="BodyText"/>
      </w:pPr>
      <w:r>
        <w:rPr>
          <w:b/>
          <w:bCs/>
        </w:rPr>
        <w:t xml:space="preserve">2. Guardant Health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“Non-Inferiority”</w:t>
      </w:r>
      <w:r>
        <w:rPr>
          <w:b/>
          <w:bCs/>
        </w:rPr>
        <w:t xml:space="preserve"> </w:t>
      </w:r>
      <w:r>
        <w:rPr>
          <w:b/>
          <w:bCs/>
        </w:rPr>
        <w:t xml:space="preserve">NILE Study)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Citation:</w:t>
      </w:r>
      <w:r>
        <w:t xml:space="preserve"> </w:t>
      </w:r>
      <w:r>
        <w:t xml:space="preserve">Leighl NB, Page RD, Raymond VM, et al. </w:t>
      </w:r>
      <w:r>
        <w:rPr>
          <w:i/>
          <w:iCs/>
        </w:rPr>
        <w:t xml:space="preserve">Clinical Utility of Comprehensive Cell-free DNA Analysis to Identify Genomic Biomarkers in Patients with Newly Diagnosed Metastatic Non-small Cell Lung Cancer (NILE).</w:t>
      </w:r>
      <w:r>
        <w:t xml:space="preserve"> </w:t>
      </w:r>
      <w:r>
        <w:rPr>
          <w:b/>
          <w:bCs/>
        </w:rPr>
        <w:t xml:space="preserve">Clinical Cancer Research</w:t>
      </w:r>
      <w:r>
        <w:t xml:space="preserve">. 2019;25(15):4691-4700.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Significance:</w:t>
      </w:r>
      <w:r>
        <w:t xml:space="preserve"> </w:t>
      </w:r>
      <w:r>
        <w:t xml:space="preserve">Proved that liquid biopsy (Guardant360) was</w:t>
      </w:r>
      <w:r>
        <w:t xml:space="preserve"> </w:t>
      </w:r>
      <w:r>
        <w:t xml:space="preserve">“non-inferior”</w:t>
      </w:r>
      <w:r>
        <w:t xml:space="preserve"> </w:t>
      </w:r>
      <w:r>
        <w:t xml:space="preserve">to tissue testing and actually detected</w:t>
      </w:r>
      <w:r>
        <w:t xml:space="preserve"> </w:t>
      </w:r>
      <w:r>
        <w:rPr>
          <w:i/>
          <w:iCs/>
        </w:rPr>
        <w:t xml:space="preserve">more</w:t>
      </w:r>
      <w:r>
        <w:t xml:space="preserve"> </w:t>
      </w:r>
      <w:r>
        <w:t xml:space="preserve">actionable mutations (biomarkers) because it avoided the</w:t>
      </w:r>
      <w:r>
        <w:t xml:space="preserve"> </w:t>
      </w:r>
      <w:r>
        <w:t xml:space="preserve">“insufficient tissue”</w:t>
      </w:r>
      <w:r>
        <w:t xml:space="preserve"> </w:t>
      </w:r>
      <w:r>
        <w:t xml:space="preserve">problem. This was crucial for their ADLT reimbursement status.</w:t>
      </w:r>
    </w:p>
    <w:p>
      <w:pPr>
        <w:pStyle w:val="BodyText"/>
      </w:pPr>
      <w:r>
        <w:rPr>
          <w:b/>
          <w:bCs/>
        </w:rPr>
        <w:t xml:space="preserve">3. Caris Life Sciences (The</w:t>
      </w:r>
      <w:r>
        <w:rPr>
          <w:b/>
          <w:bCs/>
        </w:rPr>
        <w:t xml:space="preserve"> </w:t>
      </w:r>
      <w:r>
        <w:rPr>
          <w:b/>
          <w:bCs/>
        </w:rPr>
        <w:t xml:space="preserve">“Survival Benefit”</w:t>
      </w:r>
      <w:r>
        <w:rPr>
          <w:b/>
          <w:bCs/>
        </w:rPr>
        <w:t xml:space="preserve"> </w:t>
      </w:r>
      <w:r>
        <w:rPr>
          <w:b/>
          <w:bCs/>
        </w:rPr>
        <w:t xml:space="preserve">Papers)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Citation:</w:t>
      </w:r>
      <w:r>
        <w:t xml:space="preserve"> </w:t>
      </w:r>
      <w:r>
        <w:t xml:space="preserve">Haslem DS, Van Norman SB, Fulde G, et al. </w:t>
      </w:r>
      <w:r>
        <w:rPr>
          <w:i/>
          <w:iCs/>
        </w:rPr>
        <w:t xml:space="preserve">A retrospective analysis of predictive biomarkers in metastatic ovarian cancer with clinical outcome.</w:t>
      </w:r>
      <w:r>
        <w:t xml:space="preserve"> </w:t>
      </w:r>
      <w:r>
        <w:rPr>
          <w:b/>
          <w:bCs/>
        </w:rPr>
        <w:t xml:space="preserve">Oncotarget</w:t>
      </w:r>
      <w:r>
        <w:t xml:space="preserve">. 2016;7(47):77235–77244.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Citation:</w:t>
      </w:r>
      <w:r>
        <w:t xml:space="preserve"> </w:t>
      </w:r>
      <w:r>
        <w:t xml:space="preserve">Spetzler D, et al. </w:t>
      </w:r>
      <w:r>
        <w:rPr>
          <w:i/>
          <w:iCs/>
        </w:rPr>
        <w:t xml:space="preserve">Molecular profiling of 4,729 patients…</w:t>
      </w:r>
      <w:r>
        <w:t xml:space="preserve"> </w:t>
      </w:r>
      <w:r>
        <w:rPr>
          <w:b/>
          <w:bCs/>
        </w:rPr>
        <w:t xml:space="preserve">ASCO Annual Meeting 2016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Significance:</w:t>
      </w:r>
      <w:r>
        <w:t xml:space="preserve"> </w:t>
      </w:r>
      <w:r>
        <w:t xml:space="preserve">These studies used retrospective data to show that patients whose treatments matched their molecular profile had significantly longer</w:t>
      </w:r>
      <w:r>
        <w:t xml:space="preserve"> </w:t>
      </w:r>
      <w:r>
        <w:rPr>
          <w:b/>
          <w:bCs/>
        </w:rPr>
        <w:t xml:space="preserve">Overall Survival (OS)</w:t>
      </w:r>
      <w:r>
        <w:t xml:space="preserve">. This</w:t>
      </w:r>
      <w:r>
        <w:t xml:space="preserve"> </w:t>
      </w:r>
      <w:r>
        <w:t xml:space="preserve">“Real-World Evidence”</w:t>
      </w:r>
      <w:r>
        <w:t xml:space="preserve"> </w:t>
      </w:r>
      <w:r>
        <w:t xml:space="preserve">approach allowed them to demonstrate utility for a broad WES/WTS platform without running a prospective drug trial.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2026-01-28T23:06:07Z</dcterms:created>
  <dcterms:modified xsi:type="dcterms:W3CDTF">2026-01-28T23:06:07Z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