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Xffc436389be49e618a535ab5bf0119650ffb509"/>
    <w:p>
      <w:pPr>
        <w:pStyle w:val="Heading1"/>
      </w:pPr>
      <w:r>
        <w:t xml:space="preserve">Report 3: Prescribing Genomic Drugs Without Companion Diagnostics</w:t>
      </w:r>
    </w:p>
    <w:p>
      <w:pPr>
        <w:pStyle w:val="FirstParagraph"/>
      </w:pPr>
      <w:r>
        <w:t xml:space="preserve">This report explains the regulatory and clinical mechanisms that allow drugs with genomic indications to be prescribed safely when a specific FDA-approved Companion Diagnostic (CDx) is not used.</w:t>
      </w:r>
    </w:p>
    <w:bookmarkStart w:id="9" w:name="the-challenge-cdx-vs.-clinical-reality"/>
    <w:p>
      <w:pPr>
        <w:pStyle w:val="Heading2"/>
      </w:pPr>
      <w:r>
        <w:t xml:space="preserve">1. The Challenge (CDx vs. Clinical Reality)</w:t>
      </w:r>
    </w:p>
    <w:p>
      <w:pPr>
        <w:pStyle w:val="FirstParagraph"/>
      </w:pPr>
      <w:r>
        <w:t xml:space="preserve">Many targeted therapies (e.g., Olaparib for</w:t>
      </w:r>
      <w:r>
        <w:t xml:space="preserve"> </w:t>
      </w:r>
      <w:r>
        <w:rPr>
          <w:i/>
          <w:iCs/>
        </w:rPr>
        <w:t xml:space="preserve">BRCA</w:t>
      </w:r>
      <w:r>
        <w:t xml:space="preserve">, Osimertinib for</w:t>
      </w:r>
      <w:r>
        <w:t xml:space="preserve"> </w:t>
      </w:r>
      <w:r>
        <w:rPr>
          <w:i/>
          <w:iCs/>
        </w:rPr>
        <w:t xml:space="preserve">EGFR</w:t>
      </w:r>
      <w:r>
        <w:t xml:space="preserve">) are FDA-approved with a specific</w:t>
      </w:r>
      <w:r>
        <w:t xml:space="preserve"> </w:t>
      </w:r>
      <w:r>
        <w:t xml:space="preserve">“Companion Diagnostic”</w:t>
      </w:r>
      <w:r>
        <w:t xml:space="preserve"> </w:t>
      </w:r>
      <w:r>
        <w:t xml:space="preserve">listed on their label.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Strict Rule:</w:t>
      </w:r>
      <w:r>
        <w:t xml:space="preserve"> </w:t>
      </w:r>
      <w:r>
        <w:t xml:space="preserve">Technically, the drug label says</w:t>
      </w:r>
      <w:r>
        <w:t xml:space="preserve"> </w:t>
      </w:r>
      <w:r>
        <w:t xml:space="preserve">“for patients identified by [Specific Test].”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Reality:</w:t>
      </w:r>
      <w:r>
        <w:t xml:space="preserve"> </w:t>
      </w:r>
      <w:r>
        <w:t xml:space="preserve">Hospitals often use their own internal tests (LDTs) or broad panels (CGP) instead of sending samples to different vendors for every single drug.</w:t>
      </w:r>
    </w:p>
    <w:bookmarkEnd w:id="9"/>
    <w:bookmarkStart w:id="12" w:name="Xcc2ef96362f5594d844786ca3620f5c06afed3e"/>
    <w:p>
      <w:pPr>
        <w:pStyle w:val="Heading2"/>
      </w:pPr>
      <w:r>
        <w:t xml:space="preserve">2. Current Mechanism: Laboratory Developed Tests (LDTs)</w:t>
      </w:r>
    </w:p>
    <w:bookmarkStart w:id="10" w:name="how-it-works-safely-off-label"/>
    <w:p>
      <w:pPr>
        <w:pStyle w:val="Heading3"/>
      </w:pPr>
      <w:r>
        <w:t xml:space="preserve">How It Works Safely</w:t>
      </w:r>
      <w:r>
        <w:t xml:space="preserve"> </w:t>
      </w:r>
      <w:r>
        <w:t xml:space="preserve">“Off-Label”</w:t>
      </w:r>
    </w:p>
    <w:p>
      <w:pPr>
        <w:pStyle w:val="FirstParagraph"/>
      </w:pPr>
      <w:r>
        <w:t xml:space="preserve">Since the FDA historically practiced</w:t>
      </w:r>
      <w:r>
        <w:t xml:space="preserve"> </w:t>
      </w:r>
      <w:r>
        <w:rPr>
          <w:b/>
          <w:bCs/>
        </w:rPr>
        <w:t xml:space="preserve">“Enforcement Discretion”</w:t>
      </w:r>
      <w:r>
        <w:t xml:space="preserve">, laboratories (CLIA-certified) could build their own tests (LDTs) to detect the</w:t>
      </w:r>
      <w:r>
        <w:t xml:space="preserve"> </w:t>
      </w:r>
      <w:r>
        <w:rPr>
          <w:i/>
          <w:iCs/>
        </w:rPr>
        <w:t xml:space="preserve">same biomarker</w:t>
      </w:r>
      <w:r>
        <w:t xml:space="preserve"> </w:t>
      </w:r>
      <w:r>
        <w:t xml:space="preserve">as the FDA-approved CDx.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Prescription Pathway: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Doctor Orders CGP:</w:t>
      </w:r>
      <w:r>
        <w:t xml:space="preserve"> </w:t>
      </w:r>
      <w:r>
        <w:t xml:space="preserve">The oncologist orders a comprehensive panel (e.g.,</w:t>
      </w:r>
      <w:r>
        <w:t xml:space="preserve"> </w:t>
      </w:r>
      <w:r>
        <w:t xml:space="preserve">“Onco-Panel 500”</w:t>
      </w:r>
      <w:r>
        <w:t xml:space="preserve">) from the hospital lab or a vendor (like Tempus/Foundation).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Lab Reports Biomarker:</w:t>
      </w:r>
      <w:r>
        <w:t xml:space="preserve"> </w:t>
      </w:r>
      <w:r>
        <w:t xml:space="preserve">The report says</w:t>
      </w:r>
      <w:r>
        <w:t xml:space="preserve"> </w:t>
      </w:r>
      <w:r>
        <w:t xml:space="preserve">“Positive for</w:t>
      </w:r>
      <w:r>
        <w:t xml:space="preserve"> </w:t>
      </w:r>
      <w:r>
        <w:rPr>
          <w:i/>
          <w:iCs/>
        </w:rPr>
        <w:t xml:space="preserve">EGFR</w:t>
      </w:r>
      <w:r>
        <w:t xml:space="preserve"> </w:t>
      </w:r>
      <w:r>
        <w:t xml:space="preserve">L858R mutation.”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Doctor Prescribes:</w:t>
      </w:r>
      <w:r>
        <w:t xml:space="preserve"> </w:t>
      </w:r>
      <w:r>
        <w:t xml:space="preserve">The doctor uses this result to prescribe the drug.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Justification:</w:t>
      </w:r>
      <w:r>
        <w:t xml:space="preserve"> </w:t>
      </w:r>
      <w:r>
        <w:t xml:space="preserve">The doctor determines that the</w:t>
      </w:r>
      <w:r>
        <w:t xml:space="preserve"> </w:t>
      </w:r>
      <w:r>
        <w:rPr>
          <w:i/>
          <w:iCs/>
        </w:rPr>
        <w:t xml:space="preserve">biomarker</w:t>
      </w:r>
      <w:r>
        <w:t xml:space="preserve"> </w:t>
      </w:r>
      <w:r>
        <w:t xml:space="preserve">is present, even if the</w:t>
      </w:r>
      <w:r>
        <w:t xml:space="preserve"> </w:t>
      </w:r>
      <w:r>
        <w:rPr>
          <w:i/>
          <w:iCs/>
        </w:rPr>
        <w:t xml:space="preserve">specific brand of test</w:t>
      </w:r>
      <w:r>
        <w:t xml:space="preserve"> </w:t>
      </w:r>
      <w:r>
        <w:t xml:space="preserve">wasn’t used. This is considered the</w:t>
      </w:r>
      <w:r>
        <w:t xml:space="preserve"> </w:t>
      </w:r>
      <w:r>
        <w:t xml:space="preserve">“practice of medicine”</w:t>
      </w:r>
      <w:r>
        <w:t xml:space="preserve"> </w:t>
      </w:r>
      <w:r>
        <w:t xml:space="preserve">(choosing the tool to diagnose), which FDA does not regulate.</w:t>
      </w:r>
    </w:p>
    <w:bookmarkEnd w:id="10"/>
    <w:bookmarkStart w:id="11" w:name="is-it-safe-orthogonal-confirmation"/>
    <w:p>
      <w:pPr>
        <w:pStyle w:val="Heading3"/>
      </w:pPr>
      <w:r>
        <w:t xml:space="preserve">Is It Safe? (Orthogonal Confirmation)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Validation:</w:t>
      </w:r>
      <w:r>
        <w:t xml:space="preserve"> </w:t>
      </w:r>
      <w:r>
        <w:t xml:space="preserve">Under CLIA regulations, the lab</w:t>
      </w:r>
      <w:r>
        <w:t xml:space="preserve"> </w:t>
      </w:r>
      <w:r>
        <w:rPr>
          <w:i/>
          <w:iCs/>
        </w:rPr>
        <w:t xml:space="preserve">must</w:t>
      </w:r>
      <w:r>
        <w:t xml:space="preserve"> </w:t>
      </w:r>
      <w:r>
        <w:t xml:space="preserve">validate that their LDT is as accurate as the Gold Standard (often the FDA-approved CDx).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Orthogonal Confirmation: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Germline:</w:t>
      </w:r>
      <w:r>
        <w:t xml:space="preserve"> </w:t>
      </w:r>
      <w:r>
        <w:t xml:space="preserve">Positive results from rapid tests or DTC often require confirmatory testing (Sanger or clinical grade NGS).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Somatic (Tumor):</w:t>
      </w:r>
      <w:r>
        <w:t xml:space="preserve"> </w:t>
      </w:r>
      <w:r>
        <w:t xml:space="preserve">Confirmation is</w:t>
      </w:r>
      <w:r>
        <w:t xml:space="preserve"> </w:t>
      </w:r>
      <w:r>
        <w:rPr>
          <w:b/>
          <w:bCs/>
        </w:rPr>
        <w:t xml:space="preserve">not always required</w:t>
      </w:r>
      <w:r>
        <w:t xml:space="preserve"> </w:t>
      </w:r>
      <w:r>
        <w:t xml:space="preserve">if the primary test is a validated clinical-grade NGS assay. However, for low-quality samples or borderline results (low VAF), a second method (PCR or Sanger) is standard safety protocol.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FDA Guideline:</w:t>
      </w:r>
      <w:r>
        <w:t xml:space="preserve"> </w:t>
      </w:r>
      <w:r>
        <w:t xml:space="preserve">For certain De Novo authorizations, FDA requires &gt;99% agreement with an orthogonal method.</w:t>
      </w:r>
    </w:p>
    <w:bookmarkEnd w:id="11"/>
    <w:bookmarkEnd w:id="12"/>
    <w:bookmarkStart w:id="13" w:name="regulatory-shifts-fda-vs.-ldts"/>
    <w:p>
      <w:pPr>
        <w:pStyle w:val="Heading2"/>
      </w:pPr>
      <w:r>
        <w:t xml:space="preserve">3. Regulatory Shifts (FDA vs. LDTs)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Recent Change (2024):</w:t>
      </w:r>
      <w:r>
        <w:t xml:space="preserve"> </w:t>
      </w:r>
      <w:r>
        <w:t xml:space="preserve">The FDA issued a Final Rule to end enforcement discretion, aiming to regulate LDTs as medical devices (Class III), arguing that unreliable LDTs put patients at risk.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Status (2025):</w:t>
      </w:r>
      <w:r>
        <w:t xml:space="preserve"> </w:t>
      </w:r>
      <w:r>
        <w:rPr>
          <w:b/>
          <w:bCs/>
        </w:rPr>
        <w:t xml:space="preserve">This rule was vacated by a U.S. District Court.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Current State:</w:t>
      </w:r>
      <w:r>
        <w:t xml:space="preserve"> </w:t>
      </w:r>
      <w:r>
        <w:t xml:space="preserve">LDTs remain primarily under CLIA oversight, not FDA device regulation. This maintains the</w:t>
      </w:r>
      <w:r>
        <w:t xml:space="preserve"> </w:t>
      </w:r>
      <w:r>
        <w:t xml:space="preserve">“status quo”</w:t>
      </w:r>
      <w:r>
        <w:t xml:space="preserve"> </w:t>
      </w:r>
      <w:r>
        <w:t xml:space="preserve">where validated LDTs are widely used substitutes for CDx.</w:t>
      </w:r>
    </w:p>
    <w:bookmarkEnd w:id="13"/>
    <w:bookmarkStart w:id="14" w:name="the-minimal-performance-criteria-future"/>
    <w:p>
      <w:pPr>
        <w:pStyle w:val="Heading2"/>
      </w:pPr>
      <w:r>
        <w:t xml:space="preserve">4. The</w:t>
      </w:r>
      <w:r>
        <w:t xml:space="preserve"> </w:t>
      </w:r>
      <w:r>
        <w:t xml:space="preserve">“Minimal Performance Criteria”</w:t>
      </w:r>
      <w:r>
        <w:t xml:space="preserve"> </w:t>
      </w:r>
      <w:r>
        <w:t xml:space="preserve">Future</w:t>
      </w:r>
    </w:p>
    <w:p>
      <w:pPr>
        <w:pStyle w:val="FirstParagraph"/>
      </w:pPr>
      <w:r>
        <w:t xml:space="preserve">To solve the rigid</w:t>
      </w:r>
      <w:r>
        <w:t xml:space="preserve"> </w:t>
      </w:r>
      <w:r>
        <w:t xml:space="preserve">“One Drug - One Test”</w:t>
      </w:r>
      <w:r>
        <w:t xml:space="preserve"> </w:t>
      </w:r>
      <w:r>
        <w:t xml:space="preserve">problem, the FDA Oncology Center of Excellence is exploring</w:t>
      </w:r>
      <w:r>
        <w:t xml:space="preserve"> </w:t>
      </w:r>
      <w:r>
        <w:rPr>
          <w:b/>
          <w:bCs/>
        </w:rPr>
        <w:t xml:space="preserve">Minimal Performance Criteria</w:t>
      </w:r>
      <w:r>
        <w:t xml:space="preserve">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Concept:</w:t>
      </w:r>
      <w:r>
        <w:t xml:space="preserve"> </w:t>
      </w:r>
      <w:r>
        <w:t xml:space="preserve">Instead of approving a drug with</w:t>
      </w:r>
      <w:r>
        <w:t xml:space="preserve"> </w:t>
      </w:r>
      <w:r>
        <w:t xml:space="preserve">“FoundationOne CDx”</w:t>
      </w:r>
      <w:r>
        <w:t xml:space="preserve"> </w:t>
      </w:r>
      <w:r>
        <w:t xml:space="preserve">exclusively, the FDA would approve it for</w:t>
      </w:r>
      <w:r>
        <w:t xml:space="preserve"> </w:t>
      </w:r>
      <w:r>
        <w:t xml:space="preserve">“Any test that can detect</w:t>
      </w:r>
      <w:r>
        <w:t xml:space="preserve"> </w:t>
      </w:r>
      <w:r>
        <w:rPr>
          <w:i/>
          <w:iCs/>
        </w:rPr>
        <w:t xml:space="preserve">EGFR</w:t>
      </w:r>
      <w:r>
        <w:t xml:space="preserve"> </w:t>
      </w:r>
      <w:r>
        <w:t xml:space="preserve">mutations with &gt;99% sensitivity and 5% LoD.”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Benefit:</w:t>
      </w:r>
      <w:r>
        <w:t xml:space="preserve"> </w:t>
      </w:r>
      <w:r>
        <w:t xml:space="preserve">This would officially sanction the use of valid LDTs and other commercial panels without requiring off-label workarounds.</w:t>
      </w:r>
    </w:p>
    <w:bookmarkEnd w:id="14"/>
    <w:bookmarkStart w:id="15" w:name="summary-answers"/>
    <w:p>
      <w:pPr>
        <w:pStyle w:val="Heading2"/>
      </w:pPr>
      <w:r>
        <w:t xml:space="preserve">5. Summary Answers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How are they prescribed safely?</w:t>
      </w:r>
      <w:r>
        <w:t xml:space="preserve"> </w:t>
      </w:r>
      <w:r>
        <w:t xml:space="preserve">By relying on CLIA-certified laboratories that have rigorously validated their LDTs against known standards.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Can LDT CGP product be used?</w:t>
      </w:r>
      <w:r>
        <w:t xml:space="preserve"> </w:t>
      </w:r>
      <w:r>
        <w:t xml:space="preserve">Yes. This is the standard of care in most major academic cancer centers.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Do you need to do PCR?</w:t>
      </w:r>
      <w:r>
        <w:t xml:space="preserve"> </w:t>
      </w:r>
      <w:r>
        <w:t xml:space="preserve">Not necessarily. If the LDT CGP is validated for that variant type (SNV/Indel) and the result is clear (high quality), reflex PCR is not required. PCR is used primarily as a troubleshooter for ambiguous cases or technically difficult variants.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2026-01-28T23:06:09Z</dcterms:created>
  <dcterms:modified xsi:type="dcterms:W3CDTF">2026-01-28T23:06:09Z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