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成都建筑施工企业综合经营与税务统筹系统</w:t>
      </w:r>
    </w:p>
    <w:p>
      <w:pPr>
        <w:jc w:val="center"/>
      </w:pPr>
      <w:r>
        <w:rPr>
          <w:b/>
          <w:sz w:val="30"/>
        </w:rPr>
        <w:t>总体构思与核心运行逻辑说明</w:t>
      </w:r>
    </w:p>
    <w:p>
      <w:pPr>
        <w:jc w:val="center"/>
      </w:pPr>
      <w:r>
        <w:rPr>
          <w:i/>
        </w:rPr>
        <w:t>系统设计说明 V1.0</w:t>
      </w:r>
    </w:p>
    <w:p>
      <w:pPr>
        <w:pStyle w:val="Heading1"/>
      </w:pPr>
      <w:r>
        <w:t>一、系统定位与目标</w:t>
      </w:r>
    </w:p>
    <w:p>
      <w:r>
        <w:t>本系统不是传统意义上的税务计算器，也不是单纯的财务记账系统。它以施工项目为核心，把项目经营、真实成本、不同法人之间的业务安排、税务测算、现金流、风险控制和预计完工利润统一到同一套数据与计算体系中。</w:t>
      </w:r>
    </w:p>
    <w:p>
      <w:r>
        <w:t>核心原则：以项目为核心，以真实成本为基础，以法人独立核算为前提，以税务合规为边界，以综合利润和现金效率作为最终评价指标。</w:t>
      </w:r>
    </w:p>
    <w:p>
      <w:pPr>
        <w:pStyle w:val="ListBullet"/>
      </w:pPr>
      <w:r>
        <w:t>每个项目现在真实赚了多少钱？</w:t>
      </w:r>
    </w:p>
    <w:p>
      <w:pPr>
        <w:pStyle w:val="ListBullet"/>
      </w:pPr>
      <w:r>
        <w:t>项目做完以后预计赚多少钱？</w:t>
      </w:r>
    </w:p>
    <w:p>
      <w:pPr>
        <w:pStyle w:val="ListBullet"/>
      </w:pPr>
      <w:r>
        <w:t>真实成本是多少，而不是内部交易账面金额是多少？</w:t>
      </w:r>
    </w:p>
    <w:p>
      <w:pPr>
        <w:pStyle w:val="ListBullet"/>
      </w:pPr>
      <w:r>
        <w:t>当前及未来需要承担多少税负和现金支出？</w:t>
      </w:r>
    </w:p>
    <w:p>
      <w:pPr>
        <w:pStyle w:val="ListBullet"/>
      </w:pPr>
      <w:r>
        <w:t>材料、劳务、设备采用系统内主体还是外部供应商更合理？</w:t>
      </w:r>
    </w:p>
    <w:p>
      <w:pPr>
        <w:pStyle w:val="ListBullet"/>
      </w:pPr>
      <w:r>
        <w:t>哪些合同、发票、付款和履约证据存在风险？</w:t>
      </w:r>
    </w:p>
    <w:p>
      <w:pPr>
        <w:pStyle w:val="Heading1"/>
      </w:pPr>
      <w:r>
        <w:t>二、主体边界</w:t>
      </w:r>
    </w:p>
    <w:p>
      <w:pPr>
        <w:pStyle w:val="Heading2"/>
      </w:pPr>
      <w:r>
        <w:t>2.1 系统内主体</w:t>
      </w:r>
    </w:p>
    <w:p>
      <w:r>
        <w:t>系统内主体纳入综合经营分析，但在法律、财务和纳税层面仍保持独立。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主体</w:t>
            </w:r>
          </w:p>
        </w:tc>
        <w:tc>
          <w:tcPr>
            <w:tcW w:type="dxa" w:w="3173"/>
          </w:tcPr>
          <w:p>
            <w:r>
              <w:t>主要职能</w:t>
            </w:r>
          </w:p>
        </w:tc>
        <w:tc>
          <w:tcPr>
            <w:tcW w:type="dxa" w:w="3173"/>
          </w:tcPr>
          <w:p>
            <w:r>
              <w:t>综合核算要求</w:t>
            </w:r>
          </w:p>
        </w:tc>
      </w:tr>
      <w:tr>
        <w:tc>
          <w:tcPr>
            <w:tcW w:type="dxa" w:w="3173"/>
          </w:tcPr>
          <w:p>
            <w:r>
              <w:t>A 施工企业</w:t>
            </w:r>
          </w:p>
        </w:tc>
        <w:tc>
          <w:tcPr>
            <w:tcW w:type="dxa" w:w="3173"/>
          </w:tcPr>
          <w:p>
            <w:r>
              <w:t>对外承接工程、施工组织、结算、开票、收款</w:t>
            </w:r>
          </w:p>
        </w:tc>
        <w:tc>
          <w:tcPr>
            <w:tcW w:type="dxa" w:w="3173"/>
          </w:tcPr>
          <w:p>
            <w:r>
              <w:t>独立核算收入、成本、利润、税费；项目经营核心主体</w:t>
            </w:r>
          </w:p>
        </w:tc>
      </w:tr>
      <w:tr>
        <w:tc>
          <w:tcPr>
            <w:tcW w:type="dxa" w:w="3173"/>
          </w:tcPr>
          <w:p>
            <w:r>
              <w:t>B 劳务公司</w:t>
            </w:r>
          </w:p>
        </w:tc>
        <w:tc>
          <w:tcPr>
            <w:tcW w:type="dxa" w:w="3173"/>
          </w:tcPr>
          <w:p>
            <w:r>
              <w:t>建筑劳务、人员组织、工资社保、现场履约</w:t>
            </w:r>
          </w:p>
        </w:tc>
        <w:tc>
          <w:tcPr>
            <w:tcW w:type="dxa" w:w="3173"/>
          </w:tcPr>
          <w:p>
            <w:r>
              <w:t>独立纳税；项目综合核算穿透到真实工资、社保及履约成本</w:t>
            </w:r>
          </w:p>
        </w:tc>
      </w:tr>
      <w:tr>
        <w:tc>
          <w:tcPr>
            <w:tcW w:type="dxa" w:w="3173"/>
          </w:tcPr>
          <w:p>
            <w:r>
              <w:t>C 商贸公司</w:t>
            </w:r>
          </w:p>
        </w:tc>
        <w:tc>
          <w:tcPr>
            <w:tcW w:type="dxa" w:w="3173"/>
          </w:tcPr>
          <w:p>
            <w:r>
              <w:t>建筑材料采购、供应、运输及相关商业活动</w:t>
            </w:r>
          </w:p>
        </w:tc>
        <w:tc>
          <w:tcPr>
            <w:tcW w:type="dxa" w:w="3173"/>
          </w:tcPr>
          <w:p>
            <w:r>
              <w:t>独立纳税；项目综合核算穿透到真实外部采购和配套成本</w:t>
            </w:r>
          </w:p>
        </w:tc>
      </w:tr>
      <w:tr>
        <w:tc>
          <w:tcPr>
            <w:tcW w:type="dxa" w:w="3173"/>
          </w:tcPr>
          <w:p>
            <w:r>
              <w:t>E 设备租赁公司</w:t>
            </w:r>
          </w:p>
        </w:tc>
        <w:tc>
          <w:tcPr>
            <w:tcW w:type="dxa" w:w="3173"/>
          </w:tcPr>
          <w:p>
            <w:r>
              <w:t>设备出租、设备作业及设备运营</w:t>
            </w:r>
          </w:p>
        </w:tc>
        <w:tc>
          <w:tcPr>
            <w:tcW w:type="dxa" w:w="3173"/>
          </w:tcPr>
          <w:p>
            <w:r>
              <w:t>独立纳税；穿透折旧、维修、燃料、操作人员、保险等真实成本</w:t>
            </w:r>
          </w:p>
        </w:tc>
      </w:tr>
    </w:tbl>
    <w:p>
      <w:pPr>
        <w:pStyle w:val="Heading2"/>
      </w:pPr>
      <w:r>
        <w:t>2.2 系统外交易对手</w:t>
      </w:r>
    </w:p>
    <w:p>
      <w:r>
        <w:t>第三方劳务公司、第三方设备租赁公司、外部材料供应商、专业分包公司及其他供应商不属于受控经营体系，只作为外部成本、进项税、付款、履约和风险变量。系统不计算其自身利润和所得税。</w:t>
      </w:r>
    </w:p>
    <w:p>
      <w:pPr>
        <w:pStyle w:val="Heading1"/>
      </w:pPr>
      <w:r>
        <w:t>三、最核心的经济核算逻辑</w:t>
      </w:r>
    </w:p>
    <w:p>
      <w:r>
        <w:t>系统必须严格区分“法人账面成本”和“项目真实经济成本”。A向B/C/E支付的内部采购金额，只用于各法人独立账务和税务；在计算整个项目盈亏时，需要抵消内部交易，再用B/C/E为该项目真实发生的底层成本替代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项目最终收入</w:t>
        <w:br/>
      </w:r>
      <w:r>
        <w:rPr>
          <w:rFonts w:ascii="Consolas" w:hAnsi="Consolas" w:eastAsia="Microsoft YaHei"/>
          <w:sz w:val="18"/>
        </w:rPr>
        <w:t>－ A公司自身真实项目成本</w:t>
        <w:br/>
      </w:r>
      <w:r>
        <w:rPr>
          <w:rFonts w:ascii="Consolas" w:hAnsi="Consolas" w:eastAsia="Microsoft YaHei"/>
          <w:sz w:val="18"/>
        </w:rPr>
        <w:t>－ B公司为项目发生的真实成本</w:t>
        <w:br/>
      </w:r>
      <w:r>
        <w:rPr>
          <w:rFonts w:ascii="Consolas" w:hAnsi="Consolas" w:eastAsia="Microsoft YaHei"/>
          <w:sz w:val="18"/>
        </w:rPr>
        <w:t>－ C公司为项目发生的真实成本</w:t>
        <w:br/>
      </w:r>
      <w:r>
        <w:rPr>
          <w:rFonts w:ascii="Consolas" w:hAnsi="Consolas" w:eastAsia="Microsoft YaHei"/>
          <w:sz w:val="18"/>
        </w:rPr>
        <w:t>－ E公司为项目发生的真实成本</w:t>
        <w:br/>
      </w:r>
      <w:r>
        <w:rPr>
          <w:rFonts w:ascii="Consolas" w:hAnsi="Consolas" w:eastAsia="Microsoft YaHei"/>
          <w:sz w:val="18"/>
        </w:rPr>
        <w:t>－ 第三方真实成本</w:t>
        <w:br/>
      </w:r>
      <w:r>
        <w:rPr>
          <w:rFonts w:ascii="Consolas" w:hAnsi="Consolas" w:eastAsia="Microsoft YaHei"/>
          <w:sz w:val="18"/>
        </w:rPr>
        <w:t>－ 不可抵扣税费</w:t>
        <w:br/>
      </w:r>
      <w:r>
        <w:rPr>
          <w:rFonts w:ascii="Consolas" w:hAnsi="Consolas" w:eastAsia="Microsoft YaHei"/>
          <w:sz w:val="18"/>
        </w:rPr>
        <w:t>＝ 项目真实经营利润</w:t>
      </w:r>
    </w:p>
    <w:p>
      <w:r>
        <w:t>例如A向B采购劳务1500万元、向C采购材料3000万元、向E租赁设备600万元，A账面内部采购合计5100万元。如果B/C/E对应真实底层成本分别为1200万元、2600万元、450万元，则项目综合核算中的真实成本为4250万元；差额850万元属于系统内主体经营利润，而不是项目对外成本。</w:t>
      </w:r>
    </w:p>
    <w:p>
      <w:pPr>
        <w:pStyle w:val="Heading1"/>
      </w:pPr>
      <w:r>
        <w:t>四、内部交易抵消逻辑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第一步：保留法人独立账</w:t>
        <w:br/>
      </w:r>
      <w:r>
        <w:rPr>
          <w:rFonts w:ascii="Consolas" w:hAnsi="Consolas" w:eastAsia="Microsoft YaHei"/>
          <w:sz w:val="18"/>
        </w:rPr>
        <w:t>A → B/C/E 的合同、发票、付款正常记录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第二步：项目综合核算抵消</w:t>
        <w:br/>
      </w:r>
      <w:r>
        <w:rPr>
          <w:rFonts w:ascii="Consolas" w:hAnsi="Consolas" w:eastAsia="Microsoft YaHei"/>
          <w:sz w:val="18"/>
        </w:rPr>
        <w:t>抵消 A 的内部采购成本 与 B/C/E 的内部销售收入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第三步：穿透真实成本</w:t>
        <w:br/>
      </w:r>
      <w:r>
        <w:rPr>
          <w:rFonts w:ascii="Consolas" w:hAnsi="Consolas" w:eastAsia="Microsoft YaHei"/>
          <w:sz w:val="18"/>
        </w:rPr>
        <w:t>重新加入 B/C/E 对外发生的真实底层成本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第四步：得到项目真实经营利润与受控体系利润</w:t>
      </w:r>
    </w:p>
    <w:p>
      <w:r>
        <w:t>内部抵消只用于管理合并分析，不改变任何法人的法定会计账、发票、纳税义务或合同关系。</w:t>
      </w:r>
    </w:p>
    <w:p>
      <w:pPr>
        <w:pStyle w:val="Heading1"/>
      </w:pPr>
      <w:r>
        <w:t>五、项目作为第一经营核算对象</w:t>
      </w:r>
    </w:p>
    <w:p>
      <w:r>
        <w:t>每一个施工项目建立独立 Project 档案。项目下面挂接合同、预算、收入、材料、劳务、设备、专业分包、项目管理成本、发票、收付款、税费、履约证据、风险事件和EAC预计完工数据。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项目</w:t>
        <w:br/>
      </w:r>
      <w:r>
        <w:rPr>
          <w:rFonts w:ascii="Consolas" w:hAnsi="Consolas" w:eastAsia="Microsoft YaHei"/>
          <w:sz w:val="18"/>
        </w:rPr>
        <w:t>├─ 合同 / 预算</w:t>
        <w:br/>
      </w:r>
      <w:r>
        <w:rPr>
          <w:rFonts w:ascii="Consolas" w:hAnsi="Consolas" w:eastAsia="Microsoft YaHei"/>
          <w:sz w:val="18"/>
        </w:rPr>
        <w:t>├─ 产值 / 结算 / 收入确认 / 开票 / 回款</w:t>
        <w:br/>
      </w:r>
      <w:r>
        <w:rPr>
          <w:rFonts w:ascii="Consolas" w:hAnsi="Consolas" w:eastAsia="Microsoft YaHei"/>
          <w:sz w:val="18"/>
        </w:rPr>
        <w:t>├─ 材料 / 劳务 / 设备 / 专业分包</w:t>
        <w:br/>
      </w:r>
      <w:r>
        <w:rPr>
          <w:rFonts w:ascii="Consolas" w:hAnsi="Consolas" w:eastAsia="Microsoft YaHei"/>
          <w:sz w:val="18"/>
        </w:rPr>
        <w:t>├─ A项目部真实成本</w:t>
        <w:br/>
      </w:r>
      <w:r>
        <w:rPr>
          <w:rFonts w:ascii="Consolas" w:hAnsi="Consolas" w:eastAsia="Microsoft YaHei"/>
          <w:sz w:val="18"/>
        </w:rPr>
        <w:t>├─ B/C/E穿透真实成本</w:t>
        <w:br/>
      </w:r>
      <w:r>
        <w:rPr>
          <w:rFonts w:ascii="Consolas" w:hAnsi="Consolas" w:eastAsia="Microsoft YaHei"/>
          <w:sz w:val="18"/>
        </w:rPr>
        <w:t>├─ 发票 / 付款 / 异地预缴</w:t>
        <w:br/>
      </w:r>
      <w:r>
        <w:rPr>
          <w:rFonts w:ascii="Consolas" w:hAnsi="Consolas" w:eastAsia="Microsoft YaHei"/>
          <w:sz w:val="18"/>
        </w:rPr>
        <w:t>├─ 履约证据 / 风险</w:t>
        <w:br/>
      </w:r>
      <w:r>
        <w:rPr>
          <w:rFonts w:ascii="Consolas" w:hAnsi="Consolas" w:eastAsia="Microsoft YaHei"/>
          <w:sz w:val="18"/>
        </w:rPr>
        <w:t>└─ 当前利润 / EAC预计完工</w:t>
      </w:r>
    </w:p>
    <w:p>
      <w:pPr>
        <w:pStyle w:val="Heading1"/>
      </w:pPr>
      <w:r>
        <w:t>六、收入的多口径管理</w:t>
      </w:r>
    </w:p>
    <w:p>
      <w:r>
        <w:t>建筑行业不能把开票金额直接等同于会计收入。系统同时保存合同额、产值、结算额、会计确认收入、开票金额和实际回款。不同指标分别服务于经营进度、利润、增值税和现金流分析。</w:t>
      </w:r>
    </w:p>
    <w:p>
      <w:pPr>
        <w:pStyle w:val="Heading1"/>
      </w:pPr>
      <w:r>
        <w:t>七、项目真实成本科目体系</w:t>
      </w:r>
    </w:p>
    <w:p>
      <w:pPr>
        <w:pStyle w:val="Heading2"/>
      </w:pPr>
      <w:r>
        <w:t>材料</w:t>
      </w:r>
    </w:p>
    <w:p>
      <w:pPr>
        <w:pStyle w:val="ListBullet"/>
      </w:pPr>
      <w:r>
        <w:t>钢材、水泥、商品混凝土、砂石、模板、线缆、管材、防水、装饰材料、辅材等</w:t>
      </w:r>
    </w:p>
    <w:p>
      <w:pPr>
        <w:pStyle w:val="ListBullet"/>
      </w:pPr>
      <w:r>
        <w:t>系统内C供应时穿透到C真实外采、运输、仓储、损耗等成本</w:t>
      </w:r>
    </w:p>
    <w:p>
      <w:pPr>
        <w:pStyle w:val="Heading2"/>
      </w:pPr>
      <w:r>
        <w:t>劳务</w:t>
      </w:r>
    </w:p>
    <w:p>
      <w:pPr>
        <w:pStyle w:val="ListBullet"/>
      </w:pPr>
      <w:r>
        <w:t>工资、社保、福利、住宿、交通、劳保、班组管理、临时用工等</w:t>
      </w:r>
    </w:p>
    <w:p>
      <w:pPr>
        <w:pStyle w:val="ListBullet"/>
      </w:pPr>
      <w:r>
        <w:t>系统内B承接时穿透到B真实履约成本</w:t>
      </w:r>
    </w:p>
    <w:p>
      <w:pPr>
        <w:pStyle w:val="Heading2"/>
      </w:pPr>
      <w:r>
        <w:t>设备</w:t>
      </w:r>
    </w:p>
    <w:p>
      <w:pPr>
        <w:pStyle w:val="ListBullet"/>
      </w:pPr>
      <w:r>
        <w:t>折旧、租赁、维修、保养、燃料、电费、操作人员、保险、运输和进退场</w:t>
      </w:r>
    </w:p>
    <w:p>
      <w:pPr>
        <w:pStyle w:val="ListBullet"/>
      </w:pPr>
      <w:r>
        <w:t>系统内E承接时穿透到E真实运营成本</w:t>
      </w:r>
    </w:p>
    <w:p>
      <w:pPr>
        <w:pStyle w:val="Heading2"/>
      </w:pPr>
      <w:r>
        <w:t>专业分包</w:t>
      </w:r>
    </w:p>
    <w:p>
      <w:pPr>
        <w:pStyle w:val="ListBullet"/>
      </w:pPr>
      <w:r>
        <w:t>防水、消防、幕墙、钢结构、安装、暖通、电梯、弱电等</w:t>
      </w:r>
    </w:p>
    <w:p>
      <w:pPr>
        <w:pStyle w:val="Heading2"/>
      </w:pPr>
      <w:r>
        <w:t>项目管理</w:t>
      </w:r>
    </w:p>
    <w:p>
      <w:pPr>
        <w:pStyle w:val="ListBullet"/>
      </w:pPr>
      <w:r>
        <w:t>项目管理人员工资社保、办公、差旅、临建、水电、安全文明、检测、保险等</w:t>
      </w:r>
    </w:p>
    <w:p>
      <w:pPr>
        <w:pStyle w:val="Heading2"/>
      </w:pPr>
      <w:r>
        <w:t>税费</w:t>
      </w:r>
    </w:p>
    <w:p>
      <w:pPr>
        <w:pStyle w:val="ListBullet"/>
      </w:pPr>
      <w:r>
        <w:t>增值税现金影响、附加税费、印花税、企业所得税归因、异地预缴等</w:t>
      </w:r>
    </w:p>
    <w:p>
      <w:pPr>
        <w:pStyle w:val="Heading1"/>
      </w:pPr>
      <w:r>
        <w:t>八、项目经营利润表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一、项目收入</w:t>
        <w:br/>
      </w:r>
      <w:r>
        <w:rPr>
          <w:rFonts w:ascii="Consolas" w:hAnsi="Consolas" w:eastAsia="Microsoft YaHei"/>
          <w:sz w:val="18"/>
        </w:rPr>
        <w:t xml:space="preserve">  合同额 / 累计产值 / 累计结算</w:t>
        <w:br/>
      </w:r>
      <w:r>
        <w:rPr>
          <w:rFonts w:ascii="Consolas" w:hAnsi="Consolas" w:eastAsia="Microsoft YaHei"/>
          <w:sz w:val="18"/>
        </w:rPr>
        <w:t xml:space="preserve">  累计收入确认 / 累计开票 / 累计回款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二、实际真实成本</w:t>
        <w:br/>
      </w:r>
      <w:r>
        <w:rPr>
          <w:rFonts w:ascii="Consolas" w:hAnsi="Consolas" w:eastAsia="Microsoft YaHei"/>
          <w:sz w:val="18"/>
        </w:rPr>
        <w:t xml:space="preserve">  材料 / 劳务 / 设备 / 专业分包</w:t>
        <w:br/>
      </w:r>
      <w:r>
        <w:rPr>
          <w:rFonts w:ascii="Consolas" w:hAnsi="Consolas" w:eastAsia="Microsoft YaHei"/>
          <w:sz w:val="18"/>
        </w:rPr>
        <w:t xml:space="preserve">  项目管理 / 其他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三、经营利润</w:t>
        <w:br/>
      </w:r>
      <w:r>
        <w:rPr>
          <w:rFonts w:ascii="Consolas" w:hAnsi="Consolas" w:eastAsia="Microsoft YaHei"/>
          <w:sz w:val="18"/>
        </w:rPr>
        <w:t xml:space="preserve">  收入 - 实际经营成本 = 项目经营利润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四、税费</w:t>
        <w:br/>
      </w:r>
      <w:r>
        <w:rPr>
          <w:rFonts w:ascii="Consolas" w:hAnsi="Consolas" w:eastAsia="Microsoft YaHei"/>
          <w:sz w:val="18"/>
        </w:rPr>
        <w:t xml:space="preserve">  VAT现金影响 / 附加 / 印花 / CIT归因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五、项目最终利润</w:t>
        <w:br/>
      </w:r>
      <w:r>
        <w:rPr>
          <w:rFonts w:ascii="Consolas" w:hAnsi="Consolas" w:eastAsia="Microsoft YaHei"/>
          <w:sz w:val="18"/>
        </w:rPr>
        <w:t xml:space="preserve">  税前利润 / 税后利润 / 利润率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六、资金</w:t>
        <w:br/>
      </w:r>
      <w:r>
        <w:rPr>
          <w:rFonts w:ascii="Consolas" w:hAnsi="Consolas" w:eastAsia="Microsoft YaHei"/>
          <w:sz w:val="18"/>
        </w:rPr>
        <w:t xml:space="preserve">  回款 / 外部付款 / 税款 / 应收 / 应付 / 净现金流</w:t>
      </w:r>
    </w:p>
    <w:p>
      <w:pPr>
        <w:pStyle w:val="Heading1"/>
      </w:pPr>
      <w:r>
        <w:t>九、税务计算基本原则</w:t>
      </w:r>
    </w:p>
    <w:p>
      <w:r>
        <w:t>税额由确定性的SQL/Python计算引擎计算，AI不得直接猜税率或生成税额。AI只读取计算结果，负责解释、比较方案、识别异常和提出经营建议。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业务数据库 → 税务规则库 → 确定性计算引擎 → 税务结果 → AI分析/解释</w:t>
      </w:r>
    </w:p>
    <w:p>
      <w:pPr>
        <w:pStyle w:val="Heading1"/>
      </w:pPr>
      <w:r>
        <w:t>十、法人独立税务核算</w:t>
      </w:r>
    </w:p>
    <w:p>
      <w:r>
        <w:t>A、B、C、E必须分别计算增值税、企业所得税及其他税费。管理层可以看到四个法人的税负合计，但不能把四家利润先合并后统一计算企业所得税。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A税负 + B税负 + C税负 + E税负 = 受控企业综合税负（管理口径）</w:t>
      </w:r>
    </w:p>
    <w:p>
      <w:pPr>
        <w:pStyle w:val="Heading1"/>
      </w:pPr>
      <w:r>
        <w:t>十一、VAT月度运行逻辑</w:t>
      </w:r>
    </w:p>
    <w:p>
      <w:r>
        <w:t>VAT以“法人 + 纳税期间”为核心状态维度，连续跟踪期初留抵、本期销项、本期可抵扣进项、简易计税、异地预缴、预缴抵减、当期应缴和期末留抵。一般计税与简易计税项目必须隔离，不可抵扣进项按适用规则进入成本。</w:t>
      </w:r>
    </w:p>
    <w:p>
      <w:pPr>
        <w:pStyle w:val="Heading1"/>
      </w:pPr>
      <w:r>
        <w:t>十二、材料、劳务、设备的方案模拟</w:t>
      </w:r>
    </w:p>
    <w:p>
      <w:r>
        <w:t>筹划模块不是为了人为制造成本，而是在真实业务需求存在的前提下，对不同可执行采购和组织方式进行比较。</w:t>
      </w:r>
    </w:p>
    <w:p>
      <w:pPr>
        <w:pStyle w:val="ListBullet"/>
      </w:pPr>
      <w:r>
        <w:t>劳务：系统内B、第三方劳务、系统内外混合。</w:t>
      </w:r>
    </w:p>
    <w:p>
      <w:pPr>
        <w:pStyle w:val="ListBullet"/>
      </w:pPr>
      <w:r>
        <w:t>材料：外部供应商直接供A，或系统内C真实采购后向A供货。</w:t>
      </w:r>
    </w:p>
    <w:p>
      <w:pPr>
        <w:pStyle w:val="ListBullet"/>
      </w:pPr>
      <w:r>
        <w:t>设备：A自购、系统内E出租、第三方设备出租；并区分裸租、配操作人员、设备施工作业。</w:t>
      </w:r>
    </w:p>
    <w:p>
      <w:r>
        <w:t>每个方案比较项目真实成本、各法人利润、VAT、CIT、外部现金流、资金占用、风险和最终税后利润。</w:t>
      </w:r>
    </w:p>
    <w:p>
      <w:pPr>
        <w:pStyle w:val="Heading1"/>
      </w:pPr>
      <w:r>
        <w:t>十三、履约证据链</w:t>
      </w:r>
    </w:p>
    <w:p>
      <w:r>
        <w:t>系统不能只验证“合同 + 发票 + 付款”，还必须保存业务真实发生的证据。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材料：合同 → 发票 → 付款 → 运输 → 验收 → 使用</w:t>
        <w:br/>
      </w:r>
      <w:r>
        <w:rPr>
          <w:rFonts w:ascii="Consolas" w:hAnsi="Consolas" w:eastAsia="Microsoft YaHei"/>
          <w:sz w:val="18"/>
        </w:rPr>
        <w:t>劳务：合同 → 人员 → 考勤 → 工资/社保 → 工程量 → 结算 → 发票 → 付款</w:t>
        <w:br/>
      </w:r>
      <w:r>
        <w:rPr>
          <w:rFonts w:ascii="Consolas" w:hAnsi="Consolas" w:eastAsia="Microsoft YaHei"/>
          <w:sz w:val="18"/>
        </w:rPr>
        <w:t>设备：合同 → 设备编号 → 进场 → 台班/工作记录 → 操作人员 → 结算 → 发票 → 付款</w:t>
      </w:r>
    </w:p>
    <w:p>
      <w:pPr>
        <w:pStyle w:val="Heading1"/>
      </w:pPr>
      <w:r>
        <w:t>十四、风险中心</w:t>
      </w:r>
    </w:p>
    <w:p>
      <w:r>
        <w:t>风险分为绿色、黄色、橙色、红色。系统重点识别无真实业务、无合同开票、虚构劳务或材料、虚假设备租赁、资金空转、税率错配、特殊计税条件不满足、履约证据不足、付款长期无票、成本明显超预算等异常。</w:t>
      </w:r>
    </w:p>
    <w:p>
      <w:pPr>
        <w:pStyle w:val="Heading1"/>
      </w:pPr>
      <w:r>
        <w:t>十五、EAC预计完工逻辑</w:t>
      </w:r>
    </w:p>
    <w:p>
      <w:r>
        <w:t>EAC（Estimate at Completion）用于回答“如果按照当前经营状态继续施工，项目最终预计花多少钱、赚多少钱”。系统同时保留预算EAC、当前效率EAC和管理调整EAC，避免项目早期因数据不足导致预测失真。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当前完成率 + 当前真实成本 + 原预算 + 后续已知变化</w:t>
        <w:br/>
      </w:r>
      <w:r>
        <w:rPr>
          <w:rFonts w:ascii="Consolas" w:hAnsi="Consolas" w:eastAsia="Microsoft YaHei"/>
          <w:sz w:val="18"/>
        </w:rPr>
        <w:t>→ 预计完工成本 EAC</w:t>
        <w:br/>
      </w:r>
      <w:r>
        <w:rPr>
          <w:rFonts w:ascii="Consolas" w:hAnsi="Consolas" w:eastAsia="Microsoft YaHei"/>
          <w:sz w:val="18"/>
        </w:rPr>
        <w:t>→ 预计完工经营利润</w:t>
        <w:br/>
      </w:r>
      <w:r>
        <w:rPr>
          <w:rFonts w:ascii="Consolas" w:hAnsi="Consolas" w:eastAsia="Microsoft YaHei"/>
          <w:sz w:val="18"/>
        </w:rPr>
        <w:t>→ 预计后续税费</w:t>
        <w:br/>
      </w:r>
      <w:r>
        <w:rPr>
          <w:rFonts w:ascii="Consolas" w:hAnsi="Consolas" w:eastAsia="Microsoft YaHei"/>
          <w:sz w:val="18"/>
        </w:rPr>
        <w:t>→ 预计税后完工利润</w:t>
      </w:r>
    </w:p>
    <w:p>
      <w:pPr>
        <w:pStyle w:val="Heading1"/>
      </w:pPr>
      <w:r>
        <w:t>十六、现金流逻辑</w:t>
      </w:r>
    </w:p>
    <w:p>
      <w:r>
        <w:t>利润与现金流必须分开核算。系统按项目计算累计回款、外部付款、税款支付、应收、应付和净现金流，并逐步扩展30/60/90天滚动现金预测。</w:t>
      </w:r>
    </w:p>
    <w:p>
      <w:pPr>
        <w:pStyle w:val="Heading1"/>
      </w:pPr>
      <w:r>
        <w:t>十七、系统完整运行流程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建立项目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录入合同与预算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设计材料/劳务/设备/分包方案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签约前方案模拟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项目执行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持续录入产值、结算、收入、发票、回款、付款、履约和真实成本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穿透B/C/E真实成本并抵消内部交易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形成项目真实成本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各法人独立计算税务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税费归因项目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计算当前项目利润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计算EAC预计完工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风险扫描 + 现金流预测</w:t>
        <w:br/>
      </w:r>
      <w:r>
        <w:rPr>
          <w:rFonts w:ascii="Consolas" w:hAnsi="Consolas" w:eastAsia="Microsoft YaHei"/>
          <w:sz w:val="18"/>
        </w:rPr>
        <w:t>↓</w:t>
        <w:br/>
      </w:r>
      <w:r>
        <w:rPr>
          <w:rFonts w:ascii="Consolas" w:hAnsi="Consolas" w:eastAsia="Microsoft YaHei"/>
          <w:sz w:val="18"/>
        </w:rPr>
        <w:t>管理驾驶舱</w:t>
      </w:r>
    </w:p>
    <w:p>
      <w:pPr>
        <w:pStyle w:val="Heading1"/>
      </w:pPr>
      <w:r>
        <w:t>十八、管理驾驶舱</w:t>
      </w:r>
    </w:p>
    <w:p>
      <w:r>
        <w:t>管理层首页应优先展示经营结果，而不是底层发票。核心包括：在建项目数、合同总额、累计产值、收入、回款、真实成本、当前利润、EAC预计利润、综合税负、净现金流；同时提供项目利润排名、亏损项目、成本超支、未来税款和现金缺口预警。</w:t>
      </w:r>
    </w:p>
    <w:p>
      <w:pPr>
        <w:pStyle w:val="Heading1"/>
      </w:pPr>
      <w:r>
        <w:t>十九、技术架构</w:t>
      </w:r>
    </w:p>
    <w:p>
      <w:pPr>
        <w:spacing w:before="80" w:after="120"/>
        <w:ind w:left="397"/>
      </w:pPr>
      <w:r>
        <w:rPr>
          <w:rFonts w:ascii="Consolas" w:hAnsi="Consolas" w:eastAsia="Microsoft YaHei"/>
          <w:sz w:val="18"/>
        </w:rPr>
        <w:t>Mac / 服务器</w:t>
        <w:br/>
      </w:r>
      <w:r>
        <w:rPr>
          <w:rFonts w:ascii="Consolas" w:hAnsi="Consolas" w:eastAsia="Microsoft YaHei"/>
          <w:sz w:val="18"/>
        </w:rPr>
        <w:t>├─ Web UI：浏览器操作</w:t>
        <w:br/>
      </w:r>
      <w:r>
        <w:rPr>
          <w:rFonts w:ascii="Consolas" w:hAnsi="Consolas" w:eastAsia="Microsoft YaHei"/>
          <w:sz w:val="18"/>
        </w:rPr>
        <w:t>├─ FastAPI：业务逻辑和API</w:t>
        <w:br/>
      </w:r>
      <w:r>
        <w:rPr>
          <w:rFonts w:ascii="Consolas" w:hAnsi="Consolas" w:eastAsia="Microsoft YaHei"/>
          <w:sz w:val="18"/>
        </w:rPr>
        <w:t>├─ Python Calculation Engine：利润、VAT、CIT、EAC、风险</w:t>
        <w:br/>
      </w:r>
      <w:r>
        <w:rPr>
          <w:rFonts w:ascii="Consolas" w:hAnsi="Consolas" w:eastAsia="Microsoft YaHei"/>
          <w:sz w:val="18"/>
        </w:rPr>
        <w:t>├─ PostgreSQL：正式业务数据库（Demo可使用SQLite）</w:t>
        <w:br/>
      </w:r>
      <w:r>
        <w:rPr>
          <w:rFonts w:ascii="Consolas" w:hAnsi="Consolas" w:eastAsia="Microsoft YaHei"/>
          <w:sz w:val="18"/>
        </w:rPr>
        <w:t>└─ construction-tax-cn Skill：AI分析、解释和方案比较</w:t>
      </w:r>
    </w:p>
    <w:p>
      <w:pPr>
        <w:pStyle w:val="Heading1"/>
      </w:pPr>
      <w:r>
        <w:t>二十、AI的角色边界</w:t>
      </w:r>
    </w:p>
    <w:p>
      <w:pPr>
        <w:pStyle w:val="ListBullet"/>
      </w:pPr>
      <w:r>
        <w:t>AI负责解释项目为什么盈利或亏损。</w:t>
      </w:r>
    </w:p>
    <w:p>
      <w:pPr>
        <w:pStyle w:val="ListBullet"/>
      </w:pPr>
      <w:r>
        <w:t>AI负责比较不同真实业务方案。</w:t>
      </w:r>
    </w:p>
    <w:p>
      <w:pPr>
        <w:pStyle w:val="ListBullet"/>
      </w:pPr>
      <w:r>
        <w:t>AI负责发现异常、风险和数据缺口。</w:t>
      </w:r>
    </w:p>
    <w:p>
      <w:pPr>
        <w:pStyle w:val="ListBullet"/>
      </w:pPr>
      <w:r>
        <w:t>AI负责提出成本、现金流和经营改进建议。</w:t>
      </w:r>
    </w:p>
    <w:p>
      <w:pPr>
        <w:pStyle w:val="ListBullet"/>
      </w:pPr>
      <w:r>
        <w:t>AI不得创造不存在的成本、业务、发票或财务数据。</w:t>
      </w:r>
    </w:p>
    <w:p>
      <w:pPr>
        <w:pStyle w:val="ListBullet"/>
      </w:pPr>
      <w:r>
        <w:t>AI不得自行修改税务规则或以猜测代替确定性计算。</w:t>
      </w:r>
    </w:p>
    <w:p>
      <w:pPr>
        <w:pStyle w:val="Heading1"/>
      </w:pPr>
      <w:r>
        <w:t>二十一、系统最终三个核心输出</w:t>
      </w:r>
    </w:p>
    <w:p>
      <w:r>
        <w:t>第一张表：项目真实经营利润表——回答项目现在真正赚多少钱。</w:t>
      </w:r>
    </w:p>
    <w:p>
      <w:r>
        <w:t>第二张表：项目预计完工利润表——回答项目最终预计赚多少钱。</w:t>
      </w:r>
    </w:p>
    <w:p>
      <w:r>
        <w:t>第三张表：项目税务与现金流表——回答什么时候需要交多少税、什么时候可能出现资金缺口。</w:t>
      </w:r>
    </w:p>
    <w:p>
      <w:pPr>
        <w:pStyle w:val="Heading1"/>
      </w:pPr>
      <w:r>
        <w:t>二十二、十条核心运行原则</w:t>
      </w:r>
    </w:p>
    <w:p>
      <w:r>
        <w:t>1. 以项目为最小经营核算单元。</w:t>
      </w:r>
    </w:p>
    <w:p>
      <w:r>
        <w:t>2. 每个法人必须独立进行财务与税务核算。</w:t>
      </w:r>
    </w:p>
    <w:p>
      <w:r>
        <w:t>3. 系统内企业交易在项目综合利润中必须抵消。</w:t>
      </w:r>
    </w:p>
    <w:p>
      <w:r>
        <w:t>4. 内部交易抵消后，以真实底层成本替代。</w:t>
      </w:r>
    </w:p>
    <w:p>
      <w:r>
        <w:t>5. 第三方企业只作为外部成本和风险变量，不计算其自身利润。</w:t>
      </w:r>
    </w:p>
    <w:p>
      <w:r>
        <w:t>6. 产值、结算、收入确认、开票和回款必须分别管理。</w:t>
      </w:r>
    </w:p>
    <w:p>
      <w:r>
        <w:t>7. 利润与现金流必须分别核算。</w:t>
      </w:r>
    </w:p>
    <w:p>
      <w:r>
        <w:t>8. 税务由确定性计算引擎负责，AI负责分析而非猜算。</w:t>
      </w:r>
    </w:p>
    <w:p>
      <w:r>
        <w:t>9. 所有筹划必须建立在真实业务、真实履约和商业合理性基础上。</w:t>
      </w:r>
    </w:p>
    <w:p>
      <w:r>
        <w:t>10. 最终目标是提高项目真实税后利润和现金效率，同时控制税务及经营风险。</w:t>
      </w:r>
    </w:p>
    <w:p>
      <w:pPr>
        <w:pStyle w:val="Heading1"/>
      </w:pPr>
      <w:r>
        <w:t>二十三、最终定位</w:t>
      </w:r>
    </w:p>
    <w:p>
      <w:r>
        <w:t>本系统最终定位为“建筑施工企业项目经营、成本穿透、税务统筹、风险控制和利润预测一体化管理平台”。它不是单纯财务软件，也不是单纯税务软件，而是一套围绕“项目最终真正赚多少钱”建立的建筑项目经营决策系统。</w:t>
      </w:r>
    </w:p>
    <w:p>
      <w:r>
        <w:t>后续增加数电票导入、银行流水、劳务实名制、工资社保、设备台班、PostgreSQL、多用户权限、AI Skill和自动报表时，都应继续遵守上述核心核算边界和运行原则。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成都建筑施工企业综合经营与税务统筹系统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