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&lt;?php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define('DVWA_WEB_PAGE_TO_ROOT', '');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require_once DVWA_WEB_PAGE_TO_ROOT . 'dvwa/includes/dvwaPage.inc.php';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dvwaPageStartup(array());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$page = dvwaPageNewGrab();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$page['title'] = 'MediConnect Portal' . $page['title_separator'] . $page['title'];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$page['page_id'] = 'home';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$page['body'] .= 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&lt;div style="background-color: #ffffff; font-family: Arial, sans-serif; color: #222; padding: 20px; max-width: 900px; margin: 20px auto 10px auto; box-shadow: 0 0 12px rgba(0,0,0,0.08); border-radius: 16px;"&gt;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&lt;div style="text-align: center;"&gt;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&lt;img src="images/mediconnect-logo.png" alt="MediConnect Logo" style="width: 300px; margin-top: -30px; margin-bottom: -15px;"&gt; &lt;!-- Raised logo --&gt;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&lt;h1 style="font-family: Georgia, serif; color: #003366; font-size: 36px; margin-top: 0px;"&gt;MediConnect&lt;/h1&gt;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&lt;p style="font-size: 17px; color: #444;"&gt;Securely managing health data ensuring quality care.&lt;/p&gt;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&lt;a href="login.php" style="display: inline-block; margin-top: 12px; padding: 12px 30px; background-color: #a3d4f7; color: #003366; text-decoration: none; border-radius: 8px; font-weight: bold; font-size: 16px;"&gt;Patient Login&lt;/a&gt;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&lt;div style="margin-top: 30px;"&gt;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&lt;h2 style="color: #003366;"&gt;Patient Portal Guidance&lt;/h2&gt;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&lt;p&gt;This portal simulates access to electronic health records. Users may explore how patient data can be protected or compromised under common security configurations.&lt;/p&gt;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&lt;h3 style="color: #d00000; font-size: 18px; font-weight: normal;"&gt;Security Notice&lt;/h3&gt;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&lt;p style="font-size: 14px;"&gt;This is a simulation containing intentionally insecure settings.&lt;/p&gt;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&lt;p style="text-align: center;"&gt;&lt;strong style="color: #d00000;"&gt;Do not deploy this environment publicly.&lt;/strong&gt;&lt;/p&gt;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&lt;h3 style="color: #003366;"&gt;Disclosure&lt;/h3&gt;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&lt;p&gt;This training environment is for educational use only. No real patient information is used. Please proceed ethically and responsibly.&lt;/p&gt;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&lt;h2 style="color: #003366;"&gt;Further Learning&lt;/h2&gt;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&lt;li&gt;' . dvwaExternalLinkUrlGet("https://owasp.org/www-project-top-ten/", "OWASP Top Ten Project") . '&lt;/li&gt;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&lt;li&gt;' . dvwaExternalLinkUrlGet("https://portswigger.net/web-security", "PortSwigger Web Security Academy") . '&lt;/li&gt;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';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dvwaHtmlEcho($page);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