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18B60">
      <w:pPr>
        <w:pStyle w:val="3"/>
        <w:keepNext w:val="0"/>
        <w:keepLines w:val="0"/>
        <w:widowControl/>
        <w:suppressLineNumbers w:val="0"/>
      </w:pPr>
      <w:r>
        <w:t>资料简称</w:t>
      </w:r>
    </w:p>
    <w:p w14:paraId="026ACB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</w:t>
      </w:r>
      <w:r>
        <w:t xml:space="preserve">：《肥胖症诊疗指南（2024版）》解读。 </w:t>
      </w:r>
    </w:p>
    <w:p w14:paraId="4101C2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</w:t>
      </w:r>
      <w:r>
        <w:t xml:space="preserve">：《中国肥胖症医患的认知、态度和行为——ACTION-China研究》。 </w:t>
      </w:r>
    </w:p>
    <w:p w14:paraId="445DC0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</w:t>
      </w:r>
      <w:r>
        <w:t xml:space="preserve">：《内分泌视角下的肥胖症管理》。 </w:t>
      </w:r>
    </w:p>
    <w:p w14:paraId="6B10C7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</w:t>
      </w:r>
      <w:r>
        <w:t xml:space="preserve">：《持之以恒，行以致远——肥胖症的长期体重管理》。 </w:t>
      </w:r>
    </w:p>
    <w:p w14:paraId="68E6EE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</w:t>
      </w:r>
      <w:r>
        <w:t xml:space="preserve">：《肠促胰素类减重药物临床应用专家共识（2025版）》解读。 </w:t>
      </w:r>
    </w:p>
    <w:p w14:paraId="19C4A0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</w:t>
      </w:r>
      <w:r>
        <w:t xml:space="preserve">：《肥胖患者的长期体重管理及药物临床应用指南（2024版）》。 </w:t>
      </w:r>
    </w:p>
    <w:p w14:paraId="3C3407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</w:t>
      </w:r>
      <w:r>
        <w:t xml:space="preserve">：《GLP-1RA周制剂差异化解读》。 </w:t>
      </w:r>
    </w:p>
    <w:p w14:paraId="2B5734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</w:t>
      </w:r>
      <w:r>
        <w:t xml:space="preserve">：《先维盈——不难瘦才享受》。 </w:t>
      </w:r>
    </w:p>
    <w:p w14:paraId="13F7CD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</w:t>
      </w:r>
      <w:r>
        <w:t xml:space="preserve">：《迭代新生，先盈一筹——埃诺格鲁肽与司美格鲁肽头对头研究》。 </w:t>
      </w:r>
    </w:p>
    <w:p w14:paraId="0528C8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J</w:t>
      </w:r>
      <w:r>
        <w:t xml:space="preserve">：《偏向激动·精准调控——GLP-1RA全球博弈的中国方案》。 </w:t>
      </w:r>
    </w:p>
    <w:p w14:paraId="55F33C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K</w:t>
      </w:r>
      <w:r>
        <w:t xml:space="preserve">：《不难瘦，才享受——辉瑞减重的差异化解决路径》。 </w:t>
      </w:r>
    </w:p>
    <w:p w14:paraId="7FD66B4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92098">
      <w:pPr>
        <w:pStyle w:val="2"/>
        <w:keepNext w:val="0"/>
        <w:keepLines w:val="0"/>
        <w:widowControl/>
        <w:suppressLineNumbers w:val="0"/>
      </w:pPr>
      <w:r>
        <w:t>第一部分｜肥胖概念及相关健康信息</w:t>
      </w:r>
    </w:p>
    <w:p w14:paraId="262F89C0">
      <w:pPr>
        <w:pStyle w:val="3"/>
        <w:keepNext w:val="0"/>
        <w:keepLines w:val="0"/>
        <w:widowControl/>
        <w:suppressLineNumbers w:val="0"/>
      </w:pPr>
      <w:r>
        <w:t>第1页｜封面</w:t>
      </w:r>
    </w:p>
    <w:p w14:paraId="17B7AC23">
      <w:pPr>
        <w:pStyle w:val="4"/>
        <w:keepNext w:val="0"/>
        <w:keepLines w:val="0"/>
        <w:widowControl/>
        <w:suppressLineNumbers w:val="0"/>
      </w:pPr>
      <w:r>
        <w:t>从肥胖慢病管理到精准GLP-1治疗</w:t>
      </w:r>
    </w:p>
    <w:p w14:paraId="329025E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埃诺格鲁肽在中国体重管理市场中的差异化价值</w:t>
      </w:r>
    </w:p>
    <w:p w14:paraId="25EF1118">
      <w:pPr>
        <w:pStyle w:val="5"/>
        <w:keepNext w:val="0"/>
        <w:keepLines w:val="0"/>
        <w:widowControl/>
        <w:suppressLineNumbers w:val="0"/>
      </w:pPr>
      <w:r>
        <w:t>副标题：</w:t>
      </w:r>
    </w:p>
    <w:p w14:paraId="2CD61E5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肥胖定义｜疾病负担｜政策环境｜患者需求｜产品机制｜临床证据｜竞争格局｜零售战略</w:t>
      </w:r>
    </w:p>
    <w:p w14:paraId="2279F5F3">
      <w:pPr>
        <w:pStyle w:val="5"/>
        <w:keepNext w:val="0"/>
        <w:keepLines w:val="0"/>
        <w:widowControl/>
        <w:suppressLineNumbers w:val="0"/>
      </w:pPr>
      <w:r>
        <w:t>**来源：**综合A—K。</w:t>
      </w:r>
    </w:p>
    <w:p w14:paraId="43EC1C6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42F93">
      <w:pPr>
        <w:pStyle w:val="3"/>
        <w:keepNext w:val="0"/>
        <w:keepLines w:val="0"/>
        <w:widowControl/>
        <w:suppressLineNumbers w:val="0"/>
      </w:pPr>
      <w:r>
        <w:t>第2页｜整套PPT的逻辑主线</w:t>
      </w:r>
    </w:p>
    <w:p w14:paraId="6B6DA4AE">
      <w:pPr>
        <w:pStyle w:val="5"/>
        <w:keepNext w:val="0"/>
        <w:keepLines w:val="0"/>
        <w:widowControl/>
        <w:suppressLineNumbers w:val="0"/>
      </w:pPr>
      <w:r>
        <w:t>肥胖是一种慢性、进行性、复发性疾病</w:t>
      </w:r>
      <w:r>
        <w:br w:type="textWrapping"/>
      </w:r>
      <w:r>
        <w:t>↓</w:t>
      </w:r>
      <w:r>
        <w:br w:type="textWrapping"/>
      </w:r>
      <w:r>
        <w:t>全球及中国肥胖人群持续增加，疾病负担沉重</w:t>
      </w:r>
      <w:r>
        <w:br w:type="textWrapping"/>
      </w:r>
      <w:r>
        <w:t>↓</w:t>
      </w:r>
      <w:r>
        <w:br w:type="textWrapping"/>
      </w:r>
      <w:r>
        <w:t>中国仍存在认知不足、诊断不足和治疗不足</w:t>
      </w:r>
      <w:r>
        <w:br w:type="textWrapping"/>
      </w:r>
      <w:r>
        <w:t>↓</w:t>
      </w:r>
      <w:r>
        <w:br w:type="textWrapping"/>
      </w:r>
      <w:r>
        <w:t>减重可带来体重之外的多系统健康获益</w:t>
      </w:r>
      <w:r>
        <w:br w:type="textWrapping"/>
      </w:r>
      <w:r>
        <w:t>↓</w:t>
      </w:r>
      <w:r>
        <w:br w:type="textWrapping"/>
      </w:r>
      <w:r>
        <w:t>国家政策推动肥胖进入规范化、长期化管理</w:t>
      </w:r>
      <w:r>
        <w:br w:type="textWrapping"/>
      </w:r>
      <w:r>
        <w:t>↓</w:t>
      </w:r>
      <w:r>
        <w:br w:type="textWrapping"/>
      </w:r>
      <w:r>
        <w:t>GLP-1类药物成为减重治疗的重要创新方向</w:t>
      </w:r>
      <w:r>
        <w:br w:type="textWrapping"/>
      </w:r>
      <w:r>
        <w:t>↓</w:t>
      </w:r>
      <w:r>
        <w:br w:type="textWrapping"/>
      </w:r>
      <w:r>
        <w:t>市场竞争由“减得更多”转向“疗效、耐受和长期坚持”</w:t>
      </w:r>
      <w:r>
        <w:br w:type="textWrapping"/>
      </w:r>
      <w:r>
        <w:t>↓</w:t>
      </w:r>
      <w:r>
        <w:br w:type="textWrapping"/>
      </w:r>
      <w:r>
        <w:t>埃诺格鲁肽通过cAMP偏向性激动形成差异化</w:t>
      </w:r>
      <w:r>
        <w:br w:type="textWrapping"/>
      </w:r>
      <w:r>
        <w:t>↓</w:t>
      </w:r>
      <w:r>
        <w:br w:type="textWrapping"/>
      </w:r>
      <w:r>
        <w:t>以SLIMMER、头对头研究和EECOH研究支撑产品价值</w:t>
      </w:r>
      <w:r>
        <w:br w:type="textWrapping"/>
      </w:r>
      <w:r>
        <w:t>↓</w:t>
      </w:r>
      <w:r>
        <w:br w:type="textWrapping"/>
      </w:r>
      <w:r>
        <w:t>形成“不难瘦、不难受、不难守、不难售”的完整价值链</w:t>
      </w:r>
    </w:p>
    <w:p w14:paraId="5E1D14B0">
      <w:pPr>
        <w:pStyle w:val="5"/>
        <w:keepNext w:val="0"/>
        <w:keepLines w:val="0"/>
        <w:widowControl/>
        <w:suppressLineNumbers w:val="0"/>
      </w:pPr>
      <w:r>
        <w:t>**来源：**A、B、E、G、J、K相关章节。</w:t>
      </w:r>
    </w:p>
    <w:p w14:paraId="5DA3990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10629">
      <w:pPr>
        <w:pStyle w:val="3"/>
        <w:keepNext w:val="0"/>
        <w:keepLines w:val="0"/>
        <w:widowControl/>
        <w:suppressLineNumbers w:val="0"/>
      </w:pPr>
      <w:r>
        <w:t>第3页｜肥胖症定义、基础诊断与病因</w:t>
      </w:r>
    </w:p>
    <w:p w14:paraId="1F9C6E86">
      <w:pPr>
        <w:pStyle w:val="4"/>
        <w:keepNext w:val="0"/>
        <w:keepLines w:val="0"/>
        <w:widowControl/>
        <w:suppressLineNumbers w:val="0"/>
      </w:pPr>
      <w:r>
        <w:t>肥胖症定义</w:t>
      </w:r>
    </w:p>
    <w:p w14:paraId="0749AB1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肥胖症是一种由遗传和环境因素共同导致的脂肪组织过度积累，或脂肪组织分布、功能异常的慢性、进行性、复发性疾病。</w:t>
      </w:r>
    </w:p>
    <w:p w14:paraId="163A1315">
      <w:pPr>
        <w:pStyle w:val="5"/>
        <w:keepNext w:val="0"/>
        <w:keepLines w:val="0"/>
        <w:widowControl/>
        <w:suppressLineNumbers w:val="0"/>
      </w:pPr>
      <w:r>
        <w:t>核心属性：</w:t>
      </w:r>
    </w:p>
    <w:p w14:paraId="680261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**慢性：**需要持续管理，而非一次性减重； </w:t>
      </w:r>
    </w:p>
    <w:p w14:paraId="011609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**进行性：**体重及相关健康损害可随年龄和病程加重； </w:t>
      </w:r>
    </w:p>
    <w:p w14:paraId="48569C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**复发性：**即使经过干预，也容易发生体重反弹。 </w:t>
      </w:r>
    </w:p>
    <w:p w14:paraId="73BDAC87">
      <w:pPr>
        <w:pStyle w:val="4"/>
        <w:keepNext w:val="0"/>
        <w:keepLines w:val="0"/>
        <w:widowControl/>
        <w:suppressLineNumbers w:val="0"/>
      </w:pPr>
      <w:r>
        <w:t>中国成年人BMI标准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95"/>
      </w:tblGrid>
      <w:tr w14:paraId="6C5E6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A880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/>
            <w:vAlign w:val="center"/>
          </w:tcPr>
          <w:p w14:paraId="6435F2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BMI</w:t>
            </w:r>
          </w:p>
        </w:tc>
      </w:tr>
      <w:tr w14:paraId="632E0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A0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体重过低</w:t>
            </w:r>
          </w:p>
        </w:tc>
        <w:tc>
          <w:tcPr>
            <w:tcW w:w="0" w:type="auto"/>
            <w:shd w:val="clear"/>
            <w:vAlign w:val="center"/>
          </w:tcPr>
          <w:p w14:paraId="55229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＜18.5 kg/m²</w:t>
            </w:r>
          </w:p>
        </w:tc>
      </w:tr>
      <w:tr w14:paraId="05AD9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FF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/>
            <w:vAlign w:val="center"/>
          </w:tcPr>
          <w:p w14:paraId="32854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18.5～23.9 kg/m²</w:t>
            </w:r>
          </w:p>
        </w:tc>
      </w:tr>
      <w:tr w14:paraId="50C4A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B3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超重</w:t>
            </w:r>
          </w:p>
        </w:tc>
        <w:tc>
          <w:tcPr>
            <w:tcW w:w="0" w:type="auto"/>
            <w:shd w:val="clear"/>
            <w:vAlign w:val="center"/>
          </w:tcPr>
          <w:p w14:paraId="4BCE2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24.0～27.9 kg/m²</w:t>
            </w:r>
          </w:p>
        </w:tc>
      </w:tr>
      <w:tr w14:paraId="5FC9F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6A6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肥胖</w:t>
            </w:r>
          </w:p>
        </w:tc>
        <w:tc>
          <w:tcPr>
            <w:tcW w:w="0" w:type="auto"/>
            <w:shd w:val="clear"/>
            <w:vAlign w:val="center"/>
          </w:tcPr>
          <w:p w14:paraId="6B39B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≥28.0 kg/m²</w:t>
            </w:r>
          </w:p>
        </w:tc>
      </w:tr>
    </w:tbl>
    <w:p w14:paraId="48C8F57B">
      <w:pPr>
        <w:pStyle w:val="5"/>
        <w:keepNext w:val="0"/>
        <w:keepLines w:val="0"/>
        <w:widowControl/>
        <w:suppressLineNumbers w:val="0"/>
      </w:pPr>
      <w:r>
        <w:t>BMI是最常用的初筛工具，但不能反映脂肪和肌肉比例、脂肪分布及内脏脂肪水平。临床可结合腰围、体脂率和内脏脂肪进一步评估。</w:t>
      </w:r>
    </w:p>
    <w:p w14:paraId="0A986F76">
      <w:pPr>
        <w:pStyle w:val="5"/>
        <w:keepNext w:val="0"/>
        <w:keepLines w:val="0"/>
        <w:widowControl/>
        <w:suppressLineNumbers w:val="0"/>
      </w:pPr>
      <w:r>
        <w:t>男性腰围≥90 cm、女性腰围≥85 cm提示腹型肥胖。</w:t>
      </w:r>
    </w:p>
    <w:p w14:paraId="564AC285">
      <w:pPr>
        <w:pStyle w:val="4"/>
        <w:keepNext w:val="0"/>
        <w:keepLines w:val="0"/>
        <w:widowControl/>
        <w:suppressLineNumbers w:val="0"/>
      </w:pPr>
      <w:r>
        <w:t>肥胖的主要影响因素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115"/>
      </w:tblGrid>
      <w:tr w14:paraId="1B374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6CF4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/>
            <w:vAlign w:val="center"/>
          </w:tcPr>
          <w:p w14:paraId="3B1E4B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主要内容</w:t>
            </w:r>
          </w:p>
        </w:tc>
      </w:tr>
      <w:tr w14:paraId="36394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2A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遗传</w:t>
            </w:r>
          </w:p>
        </w:tc>
        <w:tc>
          <w:tcPr>
            <w:tcW w:w="0" w:type="auto"/>
            <w:shd w:val="clear"/>
            <w:vAlign w:val="center"/>
          </w:tcPr>
          <w:p w14:paraId="5A737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家族聚集、肥胖易感基因、少数遗传性疾病</w:t>
            </w:r>
          </w:p>
        </w:tc>
      </w:tr>
      <w:tr w14:paraId="75AC0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A0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生活方式</w:t>
            </w:r>
          </w:p>
        </w:tc>
        <w:tc>
          <w:tcPr>
            <w:tcW w:w="0" w:type="auto"/>
            <w:shd w:val="clear"/>
            <w:vAlign w:val="center"/>
          </w:tcPr>
          <w:p w14:paraId="04A0A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饮食、运动不足、睡眠及情绪性进食</w:t>
            </w:r>
          </w:p>
        </w:tc>
      </w:tr>
      <w:tr w14:paraId="16299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B8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疾病和药物</w:t>
            </w:r>
          </w:p>
        </w:tc>
        <w:tc>
          <w:tcPr>
            <w:tcW w:w="0" w:type="auto"/>
            <w:shd w:val="clear"/>
            <w:vAlign w:val="center"/>
          </w:tcPr>
          <w:p w14:paraId="6A879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部分内分泌疾病、糖皮质激素及部分精神类药物</w:t>
            </w:r>
          </w:p>
        </w:tc>
      </w:tr>
      <w:tr w14:paraId="035C5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3F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环境和社会</w:t>
            </w:r>
          </w:p>
        </w:tc>
        <w:tc>
          <w:tcPr>
            <w:tcW w:w="0" w:type="auto"/>
            <w:shd w:val="clear"/>
            <w:vAlign w:val="center"/>
          </w:tcPr>
          <w:p w14:paraId="2A1D4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城市化、久坐工作、食物环境、经济和社会因素</w:t>
            </w:r>
          </w:p>
        </w:tc>
      </w:tr>
    </w:tbl>
    <w:p w14:paraId="60E6BC0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本页结论：</w:t>
      </w:r>
    </w:p>
    <w:p w14:paraId="36ADAE2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肥胖不是简单的“体重大”或“缺乏自律”，而是由生物、行为和环境共同作用形成的慢性疾病。</w:t>
      </w:r>
    </w:p>
    <w:p w14:paraId="37F5D126">
      <w:pPr>
        <w:pStyle w:val="5"/>
        <w:keepNext w:val="0"/>
        <w:keepLines w:val="0"/>
        <w:widowControl/>
        <w:suppressLineNumbers w:val="0"/>
      </w:pPr>
      <w:r>
        <w:t>**来源：**F第4、6页；C第3页；A第8—9页。</w:t>
      </w:r>
    </w:p>
    <w:p w14:paraId="5570B43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ADE81">
      <w:pPr>
        <w:pStyle w:val="3"/>
        <w:keepNext w:val="0"/>
        <w:keepLines w:val="0"/>
        <w:widowControl/>
        <w:suppressLineNumbers w:val="0"/>
      </w:pPr>
      <w:r>
        <w:t>第4页｜肥胖症分级、分型和分期</w:t>
      </w:r>
    </w:p>
    <w:p w14:paraId="7FAA0295">
      <w:pPr>
        <w:pStyle w:val="4"/>
        <w:keepNext w:val="0"/>
        <w:keepLines w:val="0"/>
        <w:widowControl/>
        <w:suppressLineNumbers w:val="0"/>
      </w:pPr>
      <w:r>
        <w:t>中国成人肥胖分级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235"/>
      </w:tblGrid>
      <w:tr w14:paraId="1A20F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097A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分级</w:t>
            </w:r>
          </w:p>
        </w:tc>
        <w:tc>
          <w:tcPr>
            <w:tcW w:w="0" w:type="auto"/>
            <w:shd w:val="clear"/>
            <w:vAlign w:val="center"/>
          </w:tcPr>
          <w:p w14:paraId="3ABB6D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BMI</w:t>
            </w:r>
          </w:p>
        </w:tc>
      </w:tr>
      <w:tr w14:paraId="25ADA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BD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轻度肥胖</w:t>
            </w:r>
          </w:p>
        </w:tc>
        <w:tc>
          <w:tcPr>
            <w:tcW w:w="0" w:type="auto"/>
            <w:shd w:val="clear"/>
            <w:vAlign w:val="center"/>
          </w:tcPr>
          <w:p w14:paraId="4E8FD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28.0～＜32.5 kg/m²</w:t>
            </w:r>
          </w:p>
        </w:tc>
      </w:tr>
      <w:tr w14:paraId="5C5A6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03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中度肥胖</w:t>
            </w:r>
          </w:p>
        </w:tc>
        <w:tc>
          <w:tcPr>
            <w:tcW w:w="0" w:type="auto"/>
            <w:shd w:val="clear"/>
            <w:vAlign w:val="center"/>
          </w:tcPr>
          <w:p w14:paraId="0CFA4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32.5～＜37.5 kg/m²</w:t>
            </w:r>
          </w:p>
        </w:tc>
      </w:tr>
      <w:tr w14:paraId="62C70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AC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重度肥胖</w:t>
            </w:r>
          </w:p>
        </w:tc>
        <w:tc>
          <w:tcPr>
            <w:tcW w:w="0" w:type="auto"/>
            <w:shd w:val="clear"/>
            <w:vAlign w:val="center"/>
          </w:tcPr>
          <w:p w14:paraId="0F31E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37.5～＜50.0 kg/m²</w:t>
            </w:r>
          </w:p>
        </w:tc>
      </w:tr>
      <w:tr w14:paraId="39CD6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9D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极重度肥胖</w:t>
            </w:r>
          </w:p>
        </w:tc>
        <w:tc>
          <w:tcPr>
            <w:tcW w:w="0" w:type="auto"/>
            <w:shd w:val="clear"/>
            <w:vAlign w:val="center"/>
          </w:tcPr>
          <w:p w14:paraId="758CF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≥50.0 kg/m²</w:t>
            </w:r>
          </w:p>
        </w:tc>
      </w:tr>
    </w:tbl>
    <w:p w14:paraId="19E51E33">
      <w:pPr>
        <w:pStyle w:val="4"/>
        <w:keepNext w:val="0"/>
        <w:keepLines w:val="0"/>
        <w:widowControl/>
        <w:suppressLineNumbers w:val="0"/>
      </w:pPr>
      <w:r>
        <w:t>常见分型</w:t>
      </w:r>
    </w:p>
    <w:p w14:paraId="1982BF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原发性肥胖与继发性肥胖； </w:t>
      </w:r>
    </w:p>
    <w:p w14:paraId="4856D1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腹型肥胖与全身性肥胖； </w:t>
      </w:r>
    </w:p>
    <w:p w14:paraId="1803C1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代谢健康型肥胖与代谢不健康型肥胖； </w:t>
      </w:r>
    </w:p>
    <w:p w14:paraId="5D78BD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高代谢—高尿酸型； </w:t>
      </w:r>
    </w:p>
    <w:p w14:paraId="5BCD66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高代谢—高胰岛素型； </w:t>
      </w:r>
    </w:p>
    <w:p w14:paraId="7DA934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低代谢型肥胖。 </w:t>
      </w:r>
    </w:p>
    <w:p w14:paraId="5388624B">
      <w:pPr>
        <w:pStyle w:val="4"/>
        <w:keepNext w:val="0"/>
        <w:keepLines w:val="0"/>
        <w:widowControl/>
        <w:suppressLineNumbers w:val="0"/>
      </w:pPr>
      <w:r>
        <w:t>常见分期体系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035"/>
      </w:tblGrid>
      <w:tr w14:paraId="6F117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B65E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分期体系</w:t>
            </w:r>
          </w:p>
        </w:tc>
        <w:tc>
          <w:tcPr>
            <w:tcW w:w="0" w:type="auto"/>
            <w:shd w:val="clear"/>
            <w:vAlign w:val="center"/>
          </w:tcPr>
          <w:p w14:paraId="29FFBD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主要关注内容</w:t>
            </w:r>
          </w:p>
        </w:tc>
      </w:tr>
      <w:tr w14:paraId="20492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A0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EOSS</w:t>
            </w:r>
          </w:p>
        </w:tc>
        <w:tc>
          <w:tcPr>
            <w:tcW w:w="0" w:type="auto"/>
            <w:shd w:val="clear"/>
            <w:vAlign w:val="center"/>
          </w:tcPr>
          <w:p w14:paraId="25DCD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并发症、器官功能及精神心理状态</w:t>
            </w:r>
          </w:p>
        </w:tc>
      </w:tr>
      <w:tr w14:paraId="1B117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47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CMDS</w:t>
            </w:r>
          </w:p>
        </w:tc>
        <w:tc>
          <w:tcPr>
            <w:tcW w:w="0" w:type="auto"/>
            <w:shd w:val="clear"/>
            <w:vAlign w:val="center"/>
          </w:tcPr>
          <w:p w14:paraId="63BE9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心脏代谢疾病风险</w:t>
            </w:r>
          </w:p>
        </w:tc>
      </w:tr>
      <w:tr w14:paraId="0CC08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59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ABCD</w:t>
            </w:r>
          </w:p>
        </w:tc>
        <w:tc>
          <w:tcPr>
            <w:tcW w:w="0" w:type="auto"/>
            <w:shd w:val="clear"/>
            <w:vAlign w:val="center"/>
          </w:tcPr>
          <w:p w14:paraId="22A8E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病因、BMI、相关疾病及疾病严重程度</w:t>
            </w:r>
          </w:p>
        </w:tc>
      </w:tr>
    </w:tbl>
    <w:p w14:paraId="7D12D16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本页结论：</w:t>
      </w:r>
    </w:p>
    <w:p w14:paraId="5370A5C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BMI回答“患者有多胖”，分型说明“肥胖是如何形成的”，分期回答“肥胖已经造成多大健康损害”。</w:t>
      </w:r>
    </w:p>
    <w:p w14:paraId="38504ACD">
      <w:pPr>
        <w:pStyle w:val="5"/>
        <w:keepNext w:val="0"/>
        <w:keepLines w:val="0"/>
        <w:widowControl/>
        <w:suppressLineNumbers w:val="0"/>
      </w:pPr>
      <w:r>
        <w:t>**来源：**A第14—17页；F第7—8页。</w:t>
      </w:r>
    </w:p>
    <w:p w14:paraId="514C6E2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F0F0F">
      <w:pPr>
        <w:pStyle w:val="3"/>
        <w:keepNext w:val="0"/>
        <w:keepLines w:val="0"/>
        <w:widowControl/>
        <w:suppressLineNumbers w:val="0"/>
      </w:pPr>
      <w:r>
        <w:t>第5页｜肥胖的公共卫生危害与并发症负担</w:t>
      </w:r>
    </w:p>
    <w:p w14:paraId="1CF0448B">
      <w:pPr>
        <w:pStyle w:val="5"/>
        <w:keepNext w:val="0"/>
        <w:keepLines w:val="0"/>
        <w:widowControl/>
        <w:suppressLineNumbers w:val="0"/>
      </w:pPr>
      <w:r>
        <w:t>上传资料将高BMI列为：</w:t>
      </w:r>
    </w:p>
    <w:p w14:paraId="6693B12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中国第六大致死致残主要危险因素。</w:t>
      </w:r>
    </w:p>
    <w:p w14:paraId="782EBE69">
      <w:pPr>
        <w:pStyle w:val="5"/>
        <w:keepNext w:val="0"/>
        <w:keepLines w:val="0"/>
        <w:widowControl/>
        <w:suppressLineNumbers w:val="0"/>
      </w:pPr>
      <w:r>
        <w:t>肥胖可能造成：</w:t>
      </w:r>
    </w:p>
    <w:p w14:paraId="28906F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身体功能损害； </w:t>
      </w:r>
    </w:p>
    <w:p w14:paraId="4829B1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心理功能损害； </w:t>
      </w:r>
    </w:p>
    <w:p w14:paraId="0570B2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性功能损害； </w:t>
      </w:r>
    </w:p>
    <w:p w14:paraId="565E99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预期寿命缩短； </w:t>
      </w:r>
    </w:p>
    <w:p w14:paraId="1A404D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伤残调整生命年损失增加； </w:t>
      </w:r>
    </w:p>
    <w:p w14:paraId="5E0BF4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糖尿病、心血管病、卒中和部分肿瘤相关死亡增加。 </w:t>
      </w:r>
    </w:p>
    <w:p w14:paraId="2F06344C">
      <w:pPr>
        <w:pStyle w:val="4"/>
        <w:keepNext w:val="0"/>
        <w:keepLines w:val="0"/>
        <w:widowControl/>
        <w:suppressLineNumbers w:val="0"/>
      </w:pPr>
      <w:r>
        <w:t>肥胖是多种疾病的上游驱动因素</w:t>
      </w:r>
    </w:p>
    <w:p w14:paraId="05E0A9AF">
      <w:pPr>
        <w:pStyle w:val="5"/>
        <w:keepNext w:val="0"/>
        <w:keepLines w:val="0"/>
        <w:widowControl/>
        <w:suppressLineNumbers w:val="0"/>
      </w:pPr>
      <w:r>
        <w:t>常见相关疾病：</w:t>
      </w:r>
    </w:p>
    <w:p w14:paraId="5D80CC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糖尿病及糖尿病前期； </w:t>
      </w:r>
    </w:p>
    <w:p w14:paraId="264A8D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高血压、血脂异常； </w:t>
      </w:r>
    </w:p>
    <w:p w14:paraId="5844EC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脂肪肝、慢性肾脏病； </w:t>
      </w:r>
    </w:p>
    <w:p w14:paraId="5CF193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高尿酸血症、胆结石； </w:t>
      </w:r>
    </w:p>
    <w:p w14:paraId="6CEEE7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OSA； </w:t>
      </w:r>
    </w:p>
    <w:p w14:paraId="38AC65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心血管疾病； </w:t>
      </w:r>
    </w:p>
    <w:p w14:paraId="6110AB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关节、生殖及精神心理疾病。 </w:t>
      </w:r>
    </w:p>
    <w:p w14:paraId="78C7F666">
      <w:pPr>
        <w:pStyle w:val="4"/>
        <w:keepNext w:val="0"/>
        <w:keepLines w:val="0"/>
        <w:widowControl/>
        <w:suppressLineNumbers w:val="0"/>
      </w:pPr>
      <w:r>
        <w:t>中国患者并发症负担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5"/>
        <w:gridCol w:w="2595"/>
      </w:tblGrid>
      <w:tr w14:paraId="2D66B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41DF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ADA03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上传资料数据</w:t>
            </w:r>
          </w:p>
        </w:tc>
      </w:tr>
      <w:tr w14:paraId="1BE56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F7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超重患者至少合并1种并发症</w:t>
            </w:r>
          </w:p>
        </w:tc>
        <w:tc>
          <w:tcPr>
            <w:tcW w:w="0" w:type="auto"/>
            <w:shd w:val="clear"/>
            <w:vAlign w:val="center"/>
          </w:tcPr>
          <w:p w14:paraId="7C786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70.7%</w:t>
            </w:r>
          </w:p>
        </w:tc>
      </w:tr>
      <w:tr w14:paraId="46A7F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B9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肥胖患者至少合并1种并发症</w:t>
            </w:r>
          </w:p>
        </w:tc>
        <w:tc>
          <w:tcPr>
            <w:tcW w:w="0" w:type="auto"/>
            <w:shd w:val="clear"/>
            <w:vAlign w:val="center"/>
          </w:tcPr>
          <w:p w14:paraId="1CE54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89.1%</w:t>
            </w:r>
          </w:p>
        </w:tc>
      </w:tr>
      <w:tr w14:paraId="75262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1B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出现1种复杂肥胖相关疾病的风险</w:t>
            </w:r>
          </w:p>
        </w:tc>
        <w:tc>
          <w:tcPr>
            <w:tcW w:w="0" w:type="auto"/>
            <w:shd w:val="clear"/>
            <w:vAlign w:val="center"/>
          </w:tcPr>
          <w:p w14:paraId="2A4C0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正常体重人群的2.83倍</w:t>
            </w:r>
          </w:p>
        </w:tc>
      </w:tr>
      <w:tr w14:paraId="2B0E9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F0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出现2种的风险</w:t>
            </w:r>
          </w:p>
        </w:tc>
        <w:tc>
          <w:tcPr>
            <w:tcW w:w="0" w:type="auto"/>
            <w:shd w:val="clear"/>
            <w:vAlign w:val="center"/>
          </w:tcPr>
          <w:p w14:paraId="59AEF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5.17倍</w:t>
            </w:r>
          </w:p>
        </w:tc>
      </w:tr>
      <w:tr w14:paraId="6580A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41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出现≥4种的风险</w:t>
            </w:r>
          </w:p>
        </w:tc>
        <w:tc>
          <w:tcPr>
            <w:tcW w:w="0" w:type="auto"/>
            <w:shd w:val="clear"/>
            <w:vAlign w:val="center"/>
          </w:tcPr>
          <w:p w14:paraId="52970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12.39倍</w:t>
            </w:r>
          </w:p>
        </w:tc>
      </w:tr>
    </w:tbl>
    <w:p w14:paraId="3F540D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本页结论：</w:t>
      </w:r>
    </w:p>
    <w:p w14:paraId="4DC5B6A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肥胖本身是一种疾病，同时也是糖尿病、心血管病、肝病及OSA等疾病的重要上游风险因素。</w:t>
      </w:r>
    </w:p>
    <w:p w14:paraId="0C80EDF2">
      <w:pPr>
        <w:pStyle w:val="5"/>
        <w:keepNext w:val="0"/>
        <w:keepLines w:val="0"/>
        <w:widowControl/>
        <w:suppressLineNumbers w:val="0"/>
      </w:pPr>
      <w:r>
        <w:t>**来源：**A第2、12—13、18页；B第4—5页；C第7—9页；D第3—4页。</w:t>
      </w:r>
    </w:p>
    <w:p w14:paraId="4AFF220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967F2">
      <w:pPr>
        <w:pStyle w:val="2"/>
        <w:keepNext w:val="0"/>
        <w:keepLines w:val="0"/>
        <w:widowControl/>
        <w:suppressLineNumbers w:val="0"/>
      </w:pPr>
      <w:r>
        <w:t>第二部分｜全球背景、中国市场及国家政策</w:t>
      </w:r>
    </w:p>
    <w:p w14:paraId="4642C2E0">
      <w:pPr>
        <w:pStyle w:val="3"/>
        <w:keepNext w:val="0"/>
        <w:keepLines w:val="0"/>
        <w:widowControl/>
        <w:suppressLineNumbers w:val="0"/>
      </w:pPr>
      <w:r>
        <w:t>第6页｜全球肥胖人口持续增长，减重治疗进入GLP-1时代</w:t>
      </w:r>
    </w:p>
    <w:p w14:paraId="4E851D15">
      <w:pPr>
        <w:pStyle w:val="4"/>
        <w:keepNext w:val="0"/>
        <w:keepLines w:val="0"/>
        <w:widowControl/>
        <w:suppressLineNumbers w:val="0"/>
      </w:pPr>
      <w:r>
        <w:t>全球肥胖人口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521"/>
      </w:tblGrid>
      <w:tr w14:paraId="14E7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13CA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年份</w:t>
            </w:r>
          </w:p>
        </w:tc>
        <w:tc>
          <w:tcPr>
            <w:tcW w:w="0" w:type="auto"/>
            <w:shd w:val="clear"/>
            <w:vAlign w:val="center"/>
          </w:tcPr>
          <w:p w14:paraId="0A66D7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全球肥胖人口</w:t>
            </w:r>
          </w:p>
        </w:tc>
      </w:tr>
      <w:tr w14:paraId="1BF50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20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2010年</w:t>
            </w:r>
          </w:p>
        </w:tc>
        <w:tc>
          <w:tcPr>
            <w:tcW w:w="0" w:type="auto"/>
            <w:shd w:val="clear"/>
            <w:vAlign w:val="center"/>
          </w:tcPr>
          <w:p w14:paraId="23649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5.24亿</w:t>
            </w:r>
          </w:p>
        </w:tc>
      </w:tr>
      <w:tr w14:paraId="13EED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17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2015年</w:t>
            </w:r>
          </w:p>
        </w:tc>
        <w:tc>
          <w:tcPr>
            <w:tcW w:w="0" w:type="auto"/>
            <w:shd w:val="clear"/>
            <w:vAlign w:val="center"/>
          </w:tcPr>
          <w:p w14:paraId="5F567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6.49亿</w:t>
            </w:r>
          </w:p>
        </w:tc>
      </w:tr>
      <w:tr w14:paraId="55A76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48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2030年预计</w:t>
            </w:r>
          </w:p>
        </w:tc>
        <w:tc>
          <w:tcPr>
            <w:tcW w:w="0" w:type="auto"/>
            <w:shd w:val="clear"/>
            <w:vAlign w:val="center"/>
          </w:tcPr>
          <w:p w14:paraId="5296A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11.30亿</w:t>
            </w:r>
          </w:p>
        </w:tc>
      </w:tr>
    </w:tbl>
    <w:p w14:paraId="7743DDFE">
      <w:pPr>
        <w:pStyle w:val="5"/>
        <w:keepNext w:val="0"/>
        <w:keepLines w:val="0"/>
        <w:widowControl/>
        <w:suppressLineNumbers w:val="0"/>
      </w:pPr>
      <w:r>
        <w:t>预计到2030年：</w:t>
      </w:r>
    </w:p>
    <w:p w14:paraId="026728E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全球高BMI成年人占比将达到约50%。</w:t>
      </w:r>
    </w:p>
    <w:p w14:paraId="24918C63">
      <w:pPr>
        <w:pStyle w:val="4"/>
        <w:keepNext w:val="0"/>
        <w:keepLines w:val="0"/>
        <w:widowControl/>
        <w:suppressLineNumbers w:val="0"/>
      </w:pPr>
      <w:r>
        <w:t>全球减重药物格局演进</w:t>
      </w:r>
    </w:p>
    <w:p w14:paraId="39576A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前GLP-1时代主要通过中枢食欲抑制或减少脂肪吸收； </w:t>
      </w:r>
    </w:p>
    <w:p w14:paraId="587597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多款中枢类药物因心血管、精神或其他安全风险退出市场； </w:t>
      </w:r>
    </w:p>
    <w:p w14:paraId="3591F9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利拉鲁肽推动GLP-1RA由降糖进入肥胖治疗； </w:t>
      </w:r>
    </w:p>
    <w:p w14:paraId="180057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司美格鲁肽实现周制剂和更大减重幅度； </w:t>
      </w:r>
    </w:p>
    <w:p w14:paraId="02E729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替尔泊肽和玛仕度肽进入双靶点时代； </w:t>
      </w:r>
    </w:p>
    <w:p w14:paraId="5716F5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Retatrutide等三靶点药物仍在研发； </w:t>
      </w:r>
    </w:p>
    <w:p w14:paraId="1207C7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埃诺格鲁肽代表“单靶点内部信号优化”的新路线。 </w:t>
      </w:r>
    </w:p>
    <w:p w14:paraId="1E0CD17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专业备注：</w:t>
      </w:r>
    </w:p>
    <w:p w14:paraId="0233EEF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上传资料未提供统一的全球减重药市场销售额数据，因此本页只呈现全球患者规模和产品技术格局，不补充外部市场金额。</w:t>
      </w:r>
    </w:p>
    <w:p w14:paraId="0F7E5A33">
      <w:pPr>
        <w:pStyle w:val="5"/>
        <w:keepNext w:val="0"/>
        <w:keepLines w:val="0"/>
        <w:widowControl/>
        <w:suppressLineNumbers w:val="0"/>
      </w:pPr>
      <w:r>
        <w:t>**来源：**B第2页；J第7—9页。</w:t>
      </w:r>
    </w:p>
    <w:p w14:paraId="656BE4C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46736">
      <w:pPr>
        <w:pStyle w:val="3"/>
        <w:keepNext w:val="0"/>
        <w:keepLines w:val="0"/>
        <w:widowControl/>
        <w:suppressLineNumbers w:val="0"/>
      </w:pPr>
      <w:r>
        <w:t>第7页｜中国超重和肥胖市场基础庞大</w:t>
      </w:r>
    </w:p>
    <w:p w14:paraId="3DF495E1">
      <w:pPr>
        <w:pStyle w:val="5"/>
        <w:keepNext w:val="0"/>
        <w:keepLines w:val="0"/>
        <w:widowControl/>
        <w:suppressLineNumbers w:val="0"/>
      </w:pPr>
      <w:r>
        <w:t>上传资料使用不同年份、调查来源和统计口径，应并列呈现。</w:t>
      </w:r>
    </w:p>
    <w:p w14:paraId="71CA6FF9">
      <w:pPr>
        <w:pStyle w:val="4"/>
        <w:keepNext w:val="0"/>
        <w:keepLines w:val="0"/>
        <w:widowControl/>
        <w:suppressLineNumbers w:val="0"/>
      </w:pPr>
      <w:r>
        <w:t>流行病学资料口径</w:t>
      </w:r>
    </w:p>
    <w:p w14:paraId="429327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中国肥胖症患者约1.8亿； </w:t>
      </w:r>
    </w:p>
    <w:p w14:paraId="02A6AE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成年人超重患病率34.8%； </w:t>
      </w:r>
    </w:p>
    <w:p w14:paraId="2DD466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成年人肥胖患病率14.1%； </w:t>
      </w:r>
    </w:p>
    <w:p w14:paraId="1A665E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预计2030年成人超重和肥胖患病率达到65.3%。 </w:t>
      </w:r>
    </w:p>
    <w:p w14:paraId="12D35110">
      <w:pPr>
        <w:pStyle w:val="4"/>
        <w:keepNext w:val="0"/>
        <w:keepLines w:val="0"/>
        <w:widowControl/>
        <w:suppressLineNumbers w:val="0"/>
      </w:pPr>
      <w:r>
        <w:t>商业材料口径</w:t>
      </w:r>
    </w:p>
    <w:p w14:paraId="55F174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中国超重和肥胖人群超过4.02亿； </w:t>
      </w:r>
    </w:p>
    <w:p w14:paraId="7919B9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成年人超重率34.3%； </w:t>
      </w:r>
    </w:p>
    <w:p w14:paraId="25DF27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成年人肥胖率16.4%。 </w:t>
      </w:r>
    </w:p>
    <w:p w14:paraId="0A7E9808">
      <w:pPr>
        <w:pStyle w:val="4"/>
        <w:keepNext w:val="0"/>
        <w:keepLines w:val="0"/>
        <w:widowControl/>
        <w:suppressLineNumbers w:val="0"/>
      </w:pPr>
      <w:r>
        <w:t>口径说明</w:t>
      </w:r>
    </w:p>
    <w:p w14:paraId="73DAAE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**1.8亿：**肥胖症患者； </w:t>
      </w:r>
    </w:p>
    <w:p w14:paraId="368077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**4.02亿：**超重与肥胖人群合计； </w:t>
      </w:r>
    </w:p>
    <w:p w14:paraId="78791F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两组患病率来自不同资料、调查年份和数据源； </w:t>
      </w:r>
    </w:p>
    <w:p w14:paraId="599D7C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不应将不同统计口径强行合并为同一组数字。 </w:t>
      </w:r>
    </w:p>
    <w:p w14:paraId="7EE2245C">
      <w:pPr>
        <w:pStyle w:val="5"/>
        <w:keepNext w:val="0"/>
        <w:keepLines w:val="0"/>
        <w:widowControl/>
        <w:suppressLineNumbers w:val="0"/>
      </w:pPr>
      <w:r>
        <w:t>**来源：**B第3页；A第9—10页；K第2页。</w:t>
      </w:r>
    </w:p>
    <w:p w14:paraId="54903A8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8160C">
      <w:pPr>
        <w:pStyle w:val="3"/>
        <w:keepNext w:val="0"/>
        <w:keepLines w:val="0"/>
        <w:widowControl/>
        <w:suppressLineNumbers w:val="0"/>
      </w:pPr>
      <w:r>
        <w:t>第8页｜中国肥胖的结构性特征与治疗不足</w:t>
      </w:r>
    </w:p>
    <w:p w14:paraId="27808006">
      <w:pPr>
        <w:pStyle w:val="4"/>
        <w:keepNext w:val="0"/>
        <w:keepLines w:val="0"/>
        <w:widowControl/>
        <w:suppressLineNumbers w:val="0"/>
      </w:pPr>
      <w:r>
        <w:t>人群结构特征</w:t>
      </w:r>
    </w:p>
    <w:p w14:paraId="6622C4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男性超重率和肥胖率总体高于女性； </w:t>
      </w:r>
    </w:p>
    <w:p w14:paraId="7A39F0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男性肥胖高峰在35～39岁； </w:t>
      </w:r>
    </w:p>
    <w:p w14:paraId="76F7B9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女性肥胖高峰在70～74岁； </w:t>
      </w:r>
    </w:p>
    <w:p w14:paraId="201E8A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男性肥胖呈现更明显的年轻化趋势； </w:t>
      </w:r>
    </w:p>
    <w:p w14:paraId="24E1D4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中国肥胖总体呈北方高于南方； </w:t>
      </w:r>
    </w:p>
    <w:p w14:paraId="6EFDA7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河北、内蒙古和山东等地区肥胖率较高。 </w:t>
      </w:r>
    </w:p>
    <w:p w14:paraId="2B6BB8E5">
      <w:pPr>
        <w:pStyle w:val="4"/>
        <w:keepNext w:val="0"/>
        <w:keepLines w:val="0"/>
        <w:widowControl/>
        <w:suppressLineNumbers w:val="0"/>
      </w:pPr>
      <w:r>
        <w:t>诊疗不足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395"/>
      </w:tblGrid>
      <w:tr w14:paraId="64DD5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B8A2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7DB52D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上传资料数据及口径</w:t>
            </w:r>
          </w:p>
        </w:tc>
      </w:tr>
      <w:tr w14:paraId="4DE37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CE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肥胖诊断率</w:t>
            </w:r>
          </w:p>
        </w:tc>
        <w:tc>
          <w:tcPr>
            <w:tcW w:w="0" w:type="auto"/>
            <w:shd w:val="clear"/>
            <w:vAlign w:val="center"/>
          </w:tcPr>
          <w:p w14:paraId="5768B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＜40%，中国资料</w:t>
            </w:r>
          </w:p>
        </w:tc>
      </w:tr>
      <w:tr w14:paraId="46FA3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23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减重手术率</w:t>
            </w:r>
          </w:p>
        </w:tc>
        <w:tc>
          <w:tcPr>
            <w:tcW w:w="0" w:type="auto"/>
            <w:shd w:val="clear"/>
            <w:vAlign w:val="center"/>
          </w:tcPr>
          <w:p w14:paraId="1A606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0.25%，中国白皮书资料</w:t>
            </w:r>
          </w:p>
        </w:tc>
      </w:tr>
      <w:tr w14:paraId="589C4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6D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减重药物处方率</w:t>
            </w:r>
          </w:p>
        </w:tc>
        <w:tc>
          <w:tcPr>
            <w:tcW w:w="0" w:type="auto"/>
            <w:shd w:val="clear"/>
            <w:vAlign w:val="center"/>
          </w:tcPr>
          <w:p w14:paraId="2C1F9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0.9%，该页脚注注明为美国肥胖成人数据</w:t>
            </w:r>
          </w:p>
        </w:tc>
      </w:tr>
    </w:tbl>
    <w:p w14:paraId="7753D0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专业备注：</w:t>
      </w:r>
    </w:p>
    <w:p w14:paraId="16DB1A2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上传资料中的0.9%减重药物处方率并非中国处方率，不能直接表述为“中国药物处方率仅0.9%”。</w:t>
      </w:r>
    </w:p>
    <w:p w14:paraId="5626807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本页结论：</w:t>
      </w:r>
    </w:p>
    <w:p w14:paraId="0E041E8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中国不仅患者规模庞大，还存在明显的认知不足、诊断不足和治疗不足。</w:t>
      </w:r>
    </w:p>
    <w:p w14:paraId="0163D362">
      <w:pPr>
        <w:pStyle w:val="5"/>
        <w:keepNext w:val="0"/>
        <w:keepLines w:val="0"/>
        <w:widowControl/>
        <w:suppressLineNumbers w:val="0"/>
      </w:pPr>
      <w:r>
        <w:t>**来源：**A第10—12页；B第6页；C第5—7页。</w:t>
      </w:r>
    </w:p>
    <w:p w14:paraId="57992C3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35BAE">
      <w:pPr>
        <w:pStyle w:val="3"/>
        <w:keepNext w:val="0"/>
        <w:keepLines w:val="0"/>
        <w:widowControl/>
        <w:suppressLineNumbers w:val="0"/>
      </w:pPr>
      <w:r>
        <w:t>第9页｜减重的意义：从体重数字转向健康获益</w:t>
      </w:r>
    </w:p>
    <w:p w14:paraId="75AFFC34">
      <w:pPr>
        <w:pStyle w:val="5"/>
        <w:keepNext w:val="0"/>
        <w:keepLines w:val="0"/>
        <w:widowControl/>
        <w:suppressLineNumbers w:val="0"/>
      </w:pPr>
      <w:r>
        <w:t>现代肥胖管理正在从：</w:t>
      </w:r>
    </w:p>
    <w:p w14:paraId="711A666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以BMI和外形为中心</w:t>
      </w:r>
    </w:p>
    <w:p w14:paraId="1BECD435">
      <w:pPr>
        <w:pStyle w:val="5"/>
        <w:keepNext w:val="0"/>
        <w:keepLines w:val="0"/>
        <w:widowControl/>
        <w:suppressLineNumbers w:val="0"/>
      </w:pPr>
      <w:r>
        <w:t>转向：</w:t>
      </w:r>
    </w:p>
    <w:p w14:paraId="4E5B3BB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以合并症、健康结局和患者需求为中心。</w:t>
      </w:r>
    </w:p>
    <w:p w14:paraId="1CF7DDD3">
      <w:pPr>
        <w:pStyle w:val="4"/>
        <w:keepNext w:val="0"/>
        <w:keepLines w:val="0"/>
        <w:widowControl/>
        <w:suppressLineNumbers w:val="0"/>
      </w:pPr>
      <w:r>
        <w:t>减重幅度与健康获益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6195"/>
      </w:tblGrid>
      <w:tr w14:paraId="492B8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231D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减重幅度</w:t>
            </w:r>
          </w:p>
        </w:tc>
        <w:tc>
          <w:tcPr>
            <w:tcW w:w="0" w:type="auto"/>
            <w:shd w:val="clear"/>
            <w:vAlign w:val="center"/>
          </w:tcPr>
          <w:p w14:paraId="474C8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上传资料列示的主要获益</w:t>
            </w:r>
          </w:p>
        </w:tc>
      </w:tr>
      <w:tr w14:paraId="4B8EA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885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约5%</w:t>
            </w:r>
          </w:p>
        </w:tc>
        <w:tc>
          <w:tcPr>
            <w:tcW w:w="0" w:type="auto"/>
            <w:shd w:val="clear"/>
            <w:vAlign w:val="center"/>
          </w:tcPr>
          <w:p w14:paraId="1BEB25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血糖、血压、甘油三酯等代谢指标开始改善</w:t>
            </w:r>
          </w:p>
        </w:tc>
      </w:tr>
      <w:tr w14:paraId="4AFE1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5A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约10%</w:t>
            </w:r>
          </w:p>
        </w:tc>
        <w:tc>
          <w:tcPr>
            <w:tcW w:w="0" w:type="auto"/>
            <w:shd w:val="clear"/>
            <w:vAlign w:val="center"/>
          </w:tcPr>
          <w:p w14:paraId="2B08E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骨关节炎、OSA、胃食管反流和多囊卵巢综合征进一步改善</w:t>
            </w:r>
          </w:p>
        </w:tc>
      </w:tr>
      <w:tr w14:paraId="3A5D6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32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约15%</w:t>
            </w:r>
          </w:p>
        </w:tc>
        <w:tc>
          <w:tcPr>
            <w:tcW w:w="0" w:type="auto"/>
            <w:shd w:val="clear"/>
            <w:vAlign w:val="center"/>
          </w:tcPr>
          <w:p w14:paraId="22344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T2DM高血糖、NAFLD/NASH及心血管风险获得更大改善</w:t>
            </w:r>
          </w:p>
        </w:tc>
      </w:tr>
      <w:tr w14:paraId="213A3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DE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更高幅度</w:t>
            </w:r>
          </w:p>
        </w:tc>
        <w:tc>
          <w:tcPr>
            <w:tcW w:w="0" w:type="auto"/>
            <w:shd w:val="clear"/>
            <w:vAlign w:val="center"/>
          </w:tcPr>
          <w:p w14:paraId="26440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可能带来T2DM缓解及全因死亡风险下降等更深层获益</w:t>
            </w:r>
          </w:p>
        </w:tc>
      </w:tr>
    </w:tbl>
    <w:p w14:paraId="7B19A1B4">
      <w:pPr>
        <w:pStyle w:val="5"/>
        <w:keepNext w:val="0"/>
        <w:keepLines w:val="0"/>
        <w:widowControl/>
        <w:suppressLineNumbers w:val="0"/>
      </w:pPr>
      <w:r>
        <w:t>具体获益并非固定发生在单一阈值，而是随减重幅度增加逐步累积。</w:t>
      </w:r>
    </w:p>
    <w:p w14:paraId="18BF577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本页结论：</w:t>
      </w:r>
    </w:p>
    <w:p w14:paraId="31A59CA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减重不是最终目的。改善代谢、器官功能、生活质量及长期健康结局，才是肥胖管理的核心价值。</w:t>
      </w:r>
    </w:p>
    <w:p w14:paraId="30AD6799">
      <w:pPr>
        <w:pStyle w:val="5"/>
        <w:keepNext w:val="0"/>
        <w:keepLines w:val="0"/>
        <w:widowControl/>
        <w:suppressLineNumbers w:val="0"/>
      </w:pPr>
      <w:r>
        <w:t>**来源：**E第16—17页；C第17—21页。</w:t>
      </w:r>
    </w:p>
    <w:p w14:paraId="31AFDC8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9C5E1">
      <w:pPr>
        <w:pStyle w:val="3"/>
        <w:keepNext w:val="0"/>
        <w:keepLines w:val="0"/>
        <w:widowControl/>
        <w:suppressLineNumbers w:val="0"/>
      </w:pPr>
      <w:r>
        <w:t>第10页｜体重管理上升为国家战略</w:t>
      </w:r>
    </w:p>
    <w:p w14:paraId="3CDA570F">
      <w:pPr>
        <w:pStyle w:val="5"/>
        <w:keepNext w:val="0"/>
        <w:keepLines w:val="0"/>
        <w:widowControl/>
        <w:suppressLineNumbers w:val="0"/>
      </w:pPr>
      <w:r>
        <w:t>重要政策节点：</w:t>
      </w:r>
    </w:p>
    <w:p w14:paraId="5E34A1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2019年：</w:t>
      </w:r>
      <w:r>
        <w:t xml:space="preserve">《健康中国行动》； </w:t>
      </w:r>
    </w:p>
    <w:p w14:paraId="6BEF8C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**2024年2月：**成人及儿童青少年肥胖食养指南； </w:t>
      </w:r>
    </w:p>
    <w:p w14:paraId="40C512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2024年6月：</w:t>
      </w:r>
      <w:r>
        <w:t xml:space="preserve">《居民体重管理核心知识》； </w:t>
      </w:r>
    </w:p>
    <w:p w14:paraId="7D5987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2024—2027年：</w:t>
      </w:r>
      <w:r>
        <w:t xml:space="preserve">“体重管理年”活动； </w:t>
      </w:r>
    </w:p>
    <w:p w14:paraId="0E525C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2024年10月：</w:t>
      </w:r>
      <w:r>
        <w:t xml:space="preserve">《肥胖症诊疗指南（2024版）》。 </w:t>
      </w:r>
    </w:p>
    <w:p w14:paraId="7D0FA1D8">
      <w:pPr>
        <w:pStyle w:val="5"/>
        <w:keepNext w:val="0"/>
        <w:keepLines w:val="0"/>
        <w:widowControl/>
        <w:suppressLineNumbers w:val="0"/>
      </w:pPr>
      <w:r>
        <w:t>政策推动方向：</w:t>
      </w:r>
    </w:p>
    <w:p w14:paraId="42CC22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提升医疗卫生人员体重管理能力； </w:t>
      </w:r>
    </w:p>
    <w:p w14:paraId="32A7E8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鼓励医疗机构建设体重管理门诊和肥胖防治中心； </w:t>
      </w:r>
    </w:p>
    <w:p w14:paraId="79CED1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推动基层签约服务纳入体重管理； </w:t>
      </w:r>
    </w:p>
    <w:p w14:paraId="2D8C9E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加强营养、运动和健康生活方式指导； </w:t>
      </w:r>
    </w:p>
    <w:p w14:paraId="12D014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支持中医药体重管理技术； </w:t>
      </w:r>
    </w:p>
    <w:p w14:paraId="29AA07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形成多学科、长期化的体重管理服务模式。 </w:t>
      </w:r>
    </w:p>
    <w:p w14:paraId="2BCF961A">
      <w:pPr>
        <w:pStyle w:val="5"/>
        <w:keepNext w:val="0"/>
        <w:keepLines w:val="0"/>
        <w:widowControl/>
        <w:suppressLineNumbers w:val="0"/>
      </w:pPr>
      <w:r>
        <w:t>逻辑承接：</w:t>
      </w:r>
    </w:p>
    <w:p w14:paraId="2299977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中国肥胖现实问题严重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减重具有明确健康意义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国家政策开始系统介入。</w:t>
      </w:r>
    </w:p>
    <w:p w14:paraId="18DB846F">
      <w:pPr>
        <w:pStyle w:val="5"/>
        <w:keepNext w:val="0"/>
        <w:keepLines w:val="0"/>
        <w:widowControl/>
        <w:suppressLineNumbers w:val="0"/>
      </w:pPr>
      <w:r>
        <w:t>**来源：**A第3—5页；K第2页。</w:t>
      </w:r>
    </w:p>
    <w:p w14:paraId="33F95F1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AE247">
      <w:pPr>
        <w:pStyle w:val="2"/>
        <w:keepNext w:val="0"/>
        <w:keepLines w:val="0"/>
        <w:widowControl/>
        <w:suppressLineNumbers w:val="0"/>
      </w:pPr>
      <w:r>
        <w:t>第三部分｜患者需求与规范化长期管理</w:t>
      </w:r>
    </w:p>
    <w:p w14:paraId="54BD7A96">
      <w:pPr>
        <w:pStyle w:val="3"/>
        <w:keepNext w:val="0"/>
        <w:keepLines w:val="0"/>
        <w:widowControl/>
        <w:suppressLineNumbers w:val="0"/>
      </w:pPr>
      <w:r>
        <w:t>第11页｜ACTION-China：医患如何看待肥胖与减重</w:t>
      </w:r>
    </w:p>
    <w:p w14:paraId="7F3C54E8">
      <w:pPr>
        <w:pStyle w:val="4"/>
        <w:keepNext w:val="0"/>
        <w:keepLines w:val="0"/>
        <w:widowControl/>
        <w:suppressLineNumbers w:val="0"/>
      </w:pPr>
      <w:r>
        <w:t>研究简介</w:t>
      </w:r>
    </w:p>
    <w:p w14:paraId="6A943E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横断面、观察性、描述性在线调查； </w:t>
      </w:r>
    </w:p>
    <w:p w14:paraId="3A7D4C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研究时间：2022年8月至11月； </w:t>
      </w:r>
    </w:p>
    <w:p w14:paraId="7D5007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7000例成人肥胖症患者； </w:t>
      </w:r>
    </w:p>
    <w:p w14:paraId="59746B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1000名具有至少5年临床经验的医生。 </w:t>
      </w:r>
    </w:p>
    <w:p w14:paraId="41B05C87">
      <w:pPr>
        <w:pStyle w:val="4"/>
        <w:keepNext w:val="0"/>
        <w:keepLines w:val="0"/>
        <w:widowControl/>
        <w:suppressLineNumbers w:val="0"/>
      </w:pPr>
      <w:r>
        <w:t>肥胖慢病认知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660"/>
        <w:gridCol w:w="675"/>
      </w:tblGrid>
      <w:tr w14:paraId="29153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296B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290D9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患者</w:t>
            </w:r>
          </w:p>
        </w:tc>
        <w:tc>
          <w:tcPr>
            <w:tcW w:w="0" w:type="auto"/>
            <w:shd w:val="clear"/>
            <w:vAlign w:val="center"/>
          </w:tcPr>
          <w:p w14:paraId="205813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医生</w:t>
            </w:r>
          </w:p>
        </w:tc>
      </w:tr>
      <w:tr w14:paraId="01EC5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8F8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认为肥胖是一种慢性疾病</w:t>
            </w:r>
          </w:p>
        </w:tc>
        <w:tc>
          <w:tcPr>
            <w:tcW w:w="0" w:type="auto"/>
            <w:shd w:val="clear"/>
            <w:vAlign w:val="center"/>
          </w:tcPr>
          <w:p w14:paraId="7F252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76.8%</w:t>
            </w:r>
          </w:p>
        </w:tc>
        <w:tc>
          <w:tcPr>
            <w:tcW w:w="0" w:type="auto"/>
            <w:shd w:val="clear"/>
            <w:vAlign w:val="center"/>
          </w:tcPr>
          <w:p w14:paraId="7A138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94.6%</w:t>
            </w:r>
          </w:p>
        </w:tc>
      </w:tr>
      <w:tr w14:paraId="5452A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E9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认为减重主要是患者自身责任</w:t>
            </w:r>
          </w:p>
        </w:tc>
        <w:tc>
          <w:tcPr>
            <w:tcW w:w="0" w:type="auto"/>
            <w:shd w:val="clear"/>
            <w:vAlign w:val="center"/>
          </w:tcPr>
          <w:p w14:paraId="2B4E9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74.7%</w:t>
            </w:r>
          </w:p>
        </w:tc>
        <w:tc>
          <w:tcPr>
            <w:tcW w:w="0" w:type="auto"/>
            <w:shd w:val="clear"/>
            <w:vAlign w:val="center"/>
          </w:tcPr>
          <w:p w14:paraId="47E17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16.2%</w:t>
            </w:r>
          </w:p>
        </w:tc>
      </w:tr>
    </w:tbl>
    <w:p w14:paraId="09C0061F">
      <w:pPr>
        <w:pStyle w:val="4"/>
        <w:keepNext w:val="0"/>
        <w:keepLines w:val="0"/>
        <w:widowControl/>
        <w:suppressLineNumbers w:val="0"/>
      </w:pPr>
      <w:r>
        <w:t>减重目标差异</w:t>
      </w:r>
    </w:p>
    <w:p w14:paraId="5F4447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患者设定的平均减重目标：</w:t>
      </w:r>
      <w:r>
        <w:rPr>
          <w:rStyle w:val="8"/>
        </w:rPr>
        <w:t>16.7%</w:t>
      </w:r>
      <w:r>
        <w:t xml:space="preserve">； </w:t>
      </w:r>
    </w:p>
    <w:p w14:paraId="7650AD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医生设定的平均减重目标：</w:t>
      </w:r>
      <w:r>
        <w:rPr>
          <w:rStyle w:val="8"/>
        </w:rPr>
        <w:t>10%</w:t>
      </w:r>
      <w:r>
        <w:t xml:space="preserve">。 </w:t>
      </w:r>
    </w:p>
    <w:p w14:paraId="3E8FA106">
      <w:pPr>
        <w:pStyle w:val="4"/>
        <w:keepNext w:val="0"/>
        <w:keepLines w:val="0"/>
        <w:widowControl/>
        <w:suppressLineNumbers w:val="0"/>
      </w:pPr>
      <w:r>
        <w:t>主要减重动机</w:t>
      </w:r>
    </w:p>
    <w:p w14:paraId="107BEB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健康问题； </w:t>
      </w:r>
    </w:p>
    <w:p w14:paraId="4248C8F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个人疾病事件或诊断； </w:t>
      </w:r>
    </w:p>
    <w:p w14:paraId="4F7F05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希望身体感觉更好； </w:t>
      </w:r>
    </w:p>
    <w:p w14:paraId="75F9AE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希望精力更充沛； </w:t>
      </w:r>
    </w:p>
    <w:p w14:paraId="516B35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希望更健康或改善身材。 </w:t>
      </w:r>
    </w:p>
    <w:p w14:paraId="18D700A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本页结论：</w:t>
      </w:r>
    </w:p>
    <w:p w14:paraId="57465D1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医患都开始认可肥胖的疾病属性，但在责任归属和理想减重幅度方面仍存在明显差异。</w:t>
      </w:r>
    </w:p>
    <w:p w14:paraId="77930653">
      <w:pPr>
        <w:pStyle w:val="5"/>
        <w:keepNext w:val="0"/>
        <w:keepLines w:val="0"/>
        <w:widowControl/>
        <w:suppressLineNumbers w:val="0"/>
      </w:pPr>
      <w:r>
        <w:t>**来源：**B第8—19页。</w:t>
      </w:r>
    </w:p>
    <w:p w14:paraId="19B7534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B6D6A">
      <w:pPr>
        <w:pStyle w:val="3"/>
        <w:keepNext w:val="0"/>
        <w:keepLines w:val="0"/>
        <w:widowControl/>
        <w:suppressLineNumbers w:val="0"/>
      </w:pPr>
      <w:r>
        <w:t>第12页｜患者反复减重、沟通不足及药物顾虑</w:t>
      </w:r>
    </w:p>
    <w:p w14:paraId="22605CA3">
      <w:pPr>
        <w:pStyle w:val="4"/>
        <w:keepNext w:val="0"/>
        <w:keepLines w:val="0"/>
        <w:widowControl/>
        <w:suppressLineNumbers w:val="0"/>
      </w:pPr>
      <w:r>
        <w:t>患者反复尝试减重</w:t>
      </w:r>
    </w:p>
    <w:p w14:paraId="0F634F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73.8%的患者成年后认真减重过至少一次； </w:t>
      </w:r>
    </w:p>
    <w:p w14:paraId="057DB6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平均认真减重3.1次； </w:t>
      </w:r>
    </w:p>
    <w:p w14:paraId="5A19A09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22.1%的患者尝试过至少5次； </w:t>
      </w:r>
    </w:p>
    <w:p w14:paraId="5A673B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仅1.8%的患者在过去3年内体重下降≥10%并维持至少1年。 </w:t>
      </w:r>
    </w:p>
    <w:p w14:paraId="3AD4CF1F">
      <w:pPr>
        <w:pStyle w:val="4"/>
        <w:keepNext w:val="0"/>
        <w:keepLines w:val="0"/>
        <w:widowControl/>
        <w:suppressLineNumbers w:val="0"/>
      </w:pPr>
      <w:r>
        <w:t>医患沟通不足</w:t>
      </w:r>
    </w:p>
    <w:p w14:paraId="43A602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从出现体重问题到首次与医生讨论，平均间隔约2.5年； </w:t>
      </w:r>
    </w:p>
    <w:p w14:paraId="2CA945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医生普遍高估患者遵循建议的成功率； </w:t>
      </w:r>
    </w:p>
    <w:p w14:paraId="638B1B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53.6%的医生认为减重沟通非常有帮助； </w:t>
      </w:r>
    </w:p>
    <w:p w14:paraId="0A6AE5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仅19.1%的患者认为沟通“非常或极其有帮助”； </w:t>
      </w:r>
    </w:p>
    <w:p w14:paraId="6B0791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部分患者在沟通后出现困惑、尴尬或负面情绪。 </w:t>
      </w:r>
    </w:p>
    <w:p w14:paraId="70CE6D78">
      <w:pPr>
        <w:pStyle w:val="4"/>
        <w:keepNext w:val="0"/>
        <w:keepLines w:val="0"/>
        <w:widowControl/>
        <w:suppressLineNumbers w:val="0"/>
      </w:pPr>
      <w:r>
        <w:t>药物使用顾虑</w:t>
      </w:r>
    </w:p>
    <w:p w14:paraId="341162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长期安全性； </w:t>
      </w:r>
    </w:p>
    <w:p w14:paraId="5F533E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恶心、呕吐、腹泻和腹胀； </w:t>
      </w:r>
    </w:p>
    <w:p w14:paraId="2FA8AA9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停药后体重反弹； </w:t>
      </w:r>
    </w:p>
    <w:p w14:paraId="5B599B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治疗进入平台期； </w:t>
      </w:r>
    </w:p>
    <w:p w14:paraId="7BF601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脱发和皮肤松弛； </w:t>
      </w:r>
    </w:p>
    <w:p w14:paraId="27DD81A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肝肾副作用； </w:t>
      </w:r>
    </w:p>
    <w:p w14:paraId="076865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对正常工作和生活的影响。 </w:t>
      </w:r>
    </w:p>
    <w:p w14:paraId="3EC124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本页结论：</w:t>
      </w:r>
    </w:p>
    <w:p w14:paraId="3CD58B7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患者并非没有努力，而是需要疾病教育、专业沟通以及能够长期坚持的治疗方案。</w:t>
      </w:r>
    </w:p>
    <w:p w14:paraId="4442A973">
      <w:pPr>
        <w:pStyle w:val="5"/>
        <w:keepNext w:val="0"/>
        <w:keepLines w:val="0"/>
        <w:widowControl/>
        <w:suppressLineNumbers w:val="0"/>
      </w:pPr>
      <w:r>
        <w:t>**来源：**B第20—32页；K第4页。</w:t>
      </w:r>
    </w:p>
    <w:p w14:paraId="342A21C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0C0E6">
      <w:pPr>
        <w:pStyle w:val="3"/>
        <w:keepNext w:val="0"/>
        <w:keepLines w:val="0"/>
        <w:widowControl/>
        <w:suppressLineNumbers w:val="0"/>
      </w:pPr>
      <w:r>
        <w:t>第13页｜中国肥胖规范诊疗及长期综合治疗</w:t>
      </w:r>
    </w:p>
    <w:p w14:paraId="5FEDB3D9">
      <w:pPr>
        <w:pStyle w:val="4"/>
        <w:keepNext w:val="0"/>
        <w:keepLines w:val="0"/>
        <w:widowControl/>
        <w:suppressLineNumbers w:val="0"/>
      </w:pPr>
      <w:r>
        <w:t>规范诊疗路径</w:t>
      </w:r>
    </w:p>
    <w:p w14:paraId="46903DE4">
      <w:pPr>
        <w:pStyle w:val="5"/>
        <w:keepNext w:val="0"/>
        <w:keepLines w:val="0"/>
        <w:widowControl/>
        <w:suppressLineNumbers w:val="0"/>
      </w:pPr>
      <w:r>
        <w:t>患者识别</w:t>
      </w:r>
      <w:r>
        <w:br w:type="textWrapping"/>
      </w:r>
      <w:r>
        <w:t>→ BMI、腰围及身体成分评估</w:t>
      </w:r>
      <w:r>
        <w:br w:type="textWrapping"/>
      </w:r>
      <w:r>
        <w:t>→ 病因和生活方式评估</w:t>
      </w:r>
      <w:r>
        <w:br w:type="textWrapping"/>
      </w:r>
      <w:r>
        <w:t>→ 代谢异常、合并症及精神心理评估</w:t>
      </w:r>
      <w:r>
        <w:br w:type="textWrapping"/>
      </w:r>
      <w:r>
        <w:t>→ 肥胖分型、分期</w:t>
      </w:r>
      <w:r>
        <w:br w:type="textWrapping"/>
      </w:r>
      <w:r>
        <w:t>→ 医患共同设定总目标和阶段性目标</w:t>
      </w:r>
      <w:r>
        <w:br w:type="textWrapping"/>
      </w:r>
      <w:r>
        <w:t>→ 选择生活方式、药物或手术</w:t>
      </w:r>
      <w:r>
        <w:br w:type="textWrapping"/>
      </w:r>
      <w:r>
        <w:t>→ 随访和重新评估</w:t>
      </w:r>
      <w:r>
        <w:br w:type="textWrapping"/>
      </w:r>
      <w:r>
        <w:t>→ 减重后长期维持</w:t>
      </w:r>
    </w:p>
    <w:p w14:paraId="703D2A33">
      <w:pPr>
        <w:pStyle w:val="4"/>
        <w:keepNext w:val="0"/>
        <w:keepLines w:val="0"/>
        <w:widowControl/>
        <w:suppressLineNumbers w:val="0"/>
      </w:pPr>
      <w:r>
        <w:t>综合治疗体系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3201"/>
        <w:gridCol w:w="4048"/>
      </w:tblGrid>
      <w:tr w14:paraId="07EF2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79CB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治疗方式</w:t>
            </w:r>
          </w:p>
        </w:tc>
        <w:tc>
          <w:tcPr>
            <w:tcW w:w="0" w:type="auto"/>
            <w:shd w:val="clear"/>
            <w:vAlign w:val="center"/>
          </w:tcPr>
          <w:p w14:paraId="1DE09A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主要内容</w:t>
            </w:r>
          </w:p>
        </w:tc>
        <w:tc>
          <w:tcPr>
            <w:tcW w:w="0" w:type="auto"/>
            <w:shd w:val="clear"/>
            <w:vAlign w:val="center"/>
          </w:tcPr>
          <w:p w14:paraId="508E33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资料提示的作用与局限</w:t>
            </w:r>
          </w:p>
        </w:tc>
      </w:tr>
      <w:tr w14:paraId="73EBC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BA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生活方式干预</w:t>
            </w:r>
          </w:p>
        </w:tc>
        <w:tc>
          <w:tcPr>
            <w:tcW w:w="0" w:type="auto"/>
            <w:shd w:val="clear"/>
            <w:vAlign w:val="center"/>
          </w:tcPr>
          <w:p w14:paraId="07D48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医学营养、运动、睡眠及行为心理</w:t>
            </w:r>
          </w:p>
        </w:tc>
        <w:tc>
          <w:tcPr>
            <w:tcW w:w="0" w:type="auto"/>
            <w:shd w:val="clear"/>
            <w:vAlign w:val="center"/>
          </w:tcPr>
          <w:p w14:paraId="7665F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所有治疗的基础，但单独使用减重幅度有限且易反弹</w:t>
            </w:r>
          </w:p>
        </w:tc>
      </w:tr>
      <w:tr w14:paraId="6780A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EE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药物治疗</w:t>
            </w:r>
          </w:p>
        </w:tc>
        <w:tc>
          <w:tcPr>
            <w:tcW w:w="0" w:type="auto"/>
            <w:shd w:val="clear"/>
            <w:vAlign w:val="center"/>
          </w:tcPr>
          <w:p w14:paraId="7BA2D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临床评估、剂量滴定、剂量维持</w:t>
            </w:r>
          </w:p>
        </w:tc>
        <w:tc>
          <w:tcPr>
            <w:tcW w:w="0" w:type="auto"/>
            <w:shd w:val="clear"/>
            <w:vAlign w:val="center"/>
          </w:tcPr>
          <w:p w14:paraId="6FB6D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可提高减重幅度及体重维持效果</w:t>
            </w:r>
          </w:p>
        </w:tc>
      </w:tr>
      <w:tr w14:paraId="1B884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9D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减重手术</w:t>
            </w:r>
          </w:p>
        </w:tc>
        <w:tc>
          <w:tcPr>
            <w:tcW w:w="0" w:type="auto"/>
            <w:shd w:val="clear"/>
            <w:vAlign w:val="center"/>
          </w:tcPr>
          <w:p w14:paraId="400B5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适用于部分中重度肥胖</w:t>
            </w:r>
          </w:p>
        </w:tc>
        <w:tc>
          <w:tcPr>
            <w:tcW w:w="0" w:type="auto"/>
            <w:shd w:val="clear"/>
            <w:vAlign w:val="center"/>
          </w:tcPr>
          <w:p w14:paraId="495C5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减重幅度较大，但存在费用、手术风险和术后反弹</w:t>
            </w:r>
          </w:p>
        </w:tc>
      </w:tr>
      <w:tr w14:paraId="2DD3F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06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多学科管理</w:t>
            </w:r>
          </w:p>
        </w:tc>
        <w:tc>
          <w:tcPr>
            <w:tcW w:w="0" w:type="auto"/>
            <w:shd w:val="clear"/>
            <w:vAlign w:val="center"/>
          </w:tcPr>
          <w:p w14:paraId="52ABE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内分泌、营养、运动、心理、外科及护理</w:t>
            </w:r>
          </w:p>
        </w:tc>
        <w:tc>
          <w:tcPr>
            <w:tcW w:w="0" w:type="auto"/>
            <w:shd w:val="clear"/>
            <w:vAlign w:val="center"/>
          </w:tcPr>
          <w:p w14:paraId="6C319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提供连续和个体化管理</w:t>
            </w:r>
          </w:p>
        </w:tc>
      </w:tr>
    </w:tbl>
    <w:p w14:paraId="3F725DA4">
      <w:pPr>
        <w:pStyle w:val="4"/>
        <w:keepNext w:val="0"/>
        <w:keepLines w:val="0"/>
        <w:widowControl/>
        <w:suppressLineNumbers w:val="0"/>
      </w:pPr>
      <w:r>
        <w:t>长期管理原则</w:t>
      </w:r>
    </w:p>
    <w:p w14:paraId="7178B3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强化治疗期达到阶段性目标； </w:t>
      </w:r>
    </w:p>
    <w:p w14:paraId="39AD19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治疗维持期保持个体化最佳体重； </w:t>
      </w:r>
    </w:p>
    <w:p w14:paraId="551EB3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防止体重反弹和大幅波动； </w:t>
      </w:r>
    </w:p>
    <w:p w14:paraId="75605A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定期评价体重、身体成分、代谢指标及安全性； </w:t>
      </w:r>
    </w:p>
    <w:p w14:paraId="028D65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根据疗效、耐受性和患者实际情况调整方案。 </w:t>
      </w:r>
    </w:p>
    <w:p w14:paraId="74FE7A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专业备注：</w:t>
      </w:r>
    </w:p>
    <w:p w14:paraId="786725A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专家共识提出“评估—滴定—维持”的肠促胰素类药物规范使用框架，通常从最低剂量开始，逐步增加剂量，以降低胃肠道不良反应并提高依从性。</w:t>
      </w:r>
    </w:p>
    <w:p w14:paraId="2D2FB1B8">
      <w:pPr>
        <w:pStyle w:val="5"/>
        <w:keepNext w:val="0"/>
        <w:keepLines w:val="0"/>
        <w:widowControl/>
        <w:suppressLineNumbers w:val="0"/>
      </w:pPr>
      <w:r>
        <w:t>**来源：**A第19—26、35—42页；C第11—12页；D第5—14页；F第2页及诊疗路径部分；E第29—33页。</w:t>
      </w:r>
    </w:p>
    <w:p w14:paraId="44AE905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362B0">
      <w:pPr>
        <w:pStyle w:val="2"/>
        <w:keepNext w:val="0"/>
        <w:keepLines w:val="0"/>
        <w:widowControl/>
        <w:suppressLineNumbers w:val="0"/>
      </w:pPr>
      <w:r>
        <w:t>第四部分｜减重药物演进和机制格局</w:t>
      </w:r>
    </w:p>
    <w:p w14:paraId="4E94A94E">
      <w:pPr>
        <w:pStyle w:val="3"/>
        <w:keepNext w:val="0"/>
        <w:keepLines w:val="0"/>
        <w:widowControl/>
        <w:suppressLineNumbers w:val="0"/>
      </w:pPr>
      <w:r>
        <w:t>第14页｜减重药物发展史及代表产品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491"/>
        <w:gridCol w:w="1950"/>
        <w:gridCol w:w="4586"/>
      </w:tblGrid>
      <w:tr w14:paraId="275B9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C81C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0D6E14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代表产品</w:t>
            </w:r>
          </w:p>
        </w:tc>
        <w:tc>
          <w:tcPr>
            <w:tcW w:w="0" w:type="auto"/>
            <w:shd w:val="clear"/>
            <w:vAlign w:val="center"/>
          </w:tcPr>
          <w:p w14:paraId="39246F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商品名/上传资料中的企业信息</w:t>
            </w:r>
          </w:p>
        </w:tc>
        <w:tc>
          <w:tcPr>
            <w:tcW w:w="0" w:type="auto"/>
            <w:shd w:val="clear"/>
            <w:vAlign w:val="center"/>
          </w:tcPr>
          <w:p w14:paraId="745064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主要特点及上传数据</w:t>
            </w:r>
          </w:p>
        </w:tc>
      </w:tr>
      <w:tr w14:paraId="35C1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F9D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脂肪酶抑制剂</w:t>
            </w:r>
          </w:p>
        </w:tc>
        <w:tc>
          <w:tcPr>
            <w:tcW w:w="0" w:type="auto"/>
            <w:shd w:val="clear"/>
            <w:vAlign w:val="center"/>
          </w:tcPr>
          <w:p w14:paraId="7750E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奥利司他</w:t>
            </w:r>
          </w:p>
        </w:tc>
        <w:tc>
          <w:tcPr>
            <w:tcW w:w="0" w:type="auto"/>
            <w:shd w:val="clear"/>
            <w:vAlign w:val="center"/>
          </w:tcPr>
          <w:p w14:paraId="0E746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XENICAL®；资料未注明企业</w:t>
            </w:r>
          </w:p>
        </w:tc>
        <w:tc>
          <w:tcPr>
            <w:tcW w:w="0" w:type="auto"/>
            <w:shd w:val="clear"/>
            <w:vAlign w:val="center"/>
          </w:tcPr>
          <w:p w14:paraId="733D0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抑制胰脂肪酶、减少脂肪吸收；1年减重≥5%的比例57%，安慰剂31%；去除安慰剂效应后1年平均减重约3.1%，4年约2.8%；常见脂肪泻、排便增加及胃肠排气增加</w:t>
            </w:r>
          </w:p>
        </w:tc>
      </w:tr>
      <w:tr w14:paraId="762D0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26C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日制剂GLP-1RA</w:t>
            </w:r>
          </w:p>
        </w:tc>
        <w:tc>
          <w:tcPr>
            <w:tcW w:w="0" w:type="auto"/>
            <w:shd w:val="clear"/>
            <w:vAlign w:val="center"/>
          </w:tcPr>
          <w:p w14:paraId="11742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利拉鲁肽</w:t>
            </w:r>
          </w:p>
        </w:tc>
        <w:tc>
          <w:tcPr>
            <w:tcW w:w="0" w:type="auto"/>
            <w:shd w:val="clear"/>
            <w:vAlign w:val="center"/>
          </w:tcPr>
          <w:p w14:paraId="07FE7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SAXENDA®；资料未注明企业</w:t>
            </w:r>
          </w:p>
        </w:tc>
        <w:tc>
          <w:tcPr>
            <w:tcW w:w="0" w:type="auto"/>
            <w:shd w:val="clear"/>
            <w:vAlign w:val="center"/>
          </w:tcPr>
          <w:p w14:paraId="295B7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每日一次；SCALE研究56周平均减重8.0%，安慰剂2.6%；减重≥5%比例63.2%</w:t>
            </w:r>
          </w:p>
        </w:tc>
      </w:tr>
      <w:tr w14:paraId="14C7D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7A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短效GLP-1RA</w:t>
            </w:r>
          </w:p>
        </w:tc>
        <w:tc>
          <w:tcPr>
            <w:tcW w:w="0" w:type="auto"/>
            <w:shd w:val="clear"/>
            <w:vAlign w:val="center"/>
          </w:tcPr>
          <w:p w14:paraId="7A5FB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贝那鲁肽</w:t>
            </w:r>
          </w:p>
        </w:tc>
        <w:tc>
          <w:tcPr>
            <w:tcW w:w="0" w:type="auto"/>
            <w:shd w:val="clear"/>
            <w:vAlign w:val="center"/>
          </w:tcPr>
          <w:p w14:paraId="5665C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资料未明确商品名及企业</w:t>
            </w:r>
          </w:p>
        </w:tc>
        <w:tc>
          <w:tcPr>
            <w:tcW w:w="0" w:type="auto"/>
            <w:shd w:val="clear"/>
            <w:vAlign w:val="center"/>
          </w:tcPr>
          <w:p w14:paraId="05C51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每日3次；中国16周研究平均减重6.0%</w:t>
            </w:r>
          </w:p>
        </w:tc>
      </w:tr>
      <w:tr w14:paraId="289F4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84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周制剂GLP-1RA</w:t>
            </w:r>
          </w:p>
        </w:tc>
        <w:tc>
          <w:tcPr>
            <w:tcW w:w="0" w:type="auto"/>
            <w:shd w:val="clear"/>
            <w:vAlign w:val="center"/>
          </w:tcPr>
          <w:p w14:paraId="335DC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司美格鲁肽</w:t>
            </w:r>
          </w:p>
        </w:tc>
        <w:tc>
          <w:tcPr>
            <w:tcW w:w="0" w:type="auto"/>
            <w:shd w:val="clear"/>
            <w:vAlign w:val="center"/>
          </w:tcPr>
          <w:p w14:paraId="11BE0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诺和盈®；资料未注明企业</w:t>
            </w:r>
          </w:p>
        </w:tc>
        <w:tc>
          <w:tcPr>
            <w:tcW w:w="0" w:type="auto"/>
            <w:shd w:val="clear"/>
            <w:vAlign w:val="center"/>
          </w:tcPr>
          <w:p w14:paraId="2F61F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单GLP-1R；每周一次；具有STEP长期管理及SELECT心血管结局证据</w:t>
            </w:r>
          </w:p>
        </w:tc>
      </w:tr>
      <w:tr w14:paraId="4F9AF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75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GIP/GLP-1双激动剂</w:t>
            </w:r>
          </w:p>
        </w:tc>
        <w:tc>
          <w:tcPr>
            <w:tcW w:w="0" w:type="auto"/>
            <w:shd w:val="clear"/>
            <w:vAlign w:val="center"/>
          </w:tcPr>
          <w:p w14:paraId="558BA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替尔泊肽</w:t>
            </w:r>
          </w:p>
        </w:tc>
        <w:tc>
          <w:tcPr>
            <w:tcW w:w="0" w:type="auto"/>
            <w:shd w:val="clear"/>
            <w:vAlign w:val="center"/>
          </w:tcPr>
          <w:p w14:paraId="2C3C9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穆峰达®；资料未注明企业</w:t>
            </w:r>
          </w:p>
        </w:tc>
        <w:tc>
          <w:tcPr>
            <w:tcW w:w="0" w:type="auto"/>
            <w:shd w:val="clear"/>
            <w:vAlign w:val="center"/>
          </w:tcPr>
          <w:p w14:paraId="27630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GIP/GLP-1双靶点；中国SURMOUNT-CN研究显示明显减重</w:t>
            </w:r>
          </w:p>
        </w:tc>
      </w:tr>
      <w:tr w14:paraId="44661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7D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GLP-1/GCG双激动剂</w:t>
            </w:r>
          </w:p>
        </w:tc>
        <w:tc>
          <w:tcPr>
            <w:tcW w:w="0" w:type="auto"/>
            <w:shd w:val="clear"/>
            <w:vAlign w:val="center"/>
          </w:tcPr>
          <w:p w14:paraId="672D2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玛仕度肽</w:t>
            </w:r>
          </w:p>
        </w:tc>
        <w:tc>
          <w:tcPr>
            <w:tcW w:w="0" w:type="auto"/>
            <w:shd w:val="clear"/>
            <w:vAlign w:val="center"/>
          </w:tcPr>
          <w:p w14:paraId="70E33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信尔美®；资料未注明企业</w:t>
            </w:r>
          </w:p>
        </w:tc>
        <w:tc>
          <w:tcPr>
            <w:tcW w:w="0" w:type="auto"/>
            <w:shd w:val="clear"/>
            <w:vAlign w:val="center"/>
          </w:tcPr>
          <w:p w14:paraId="781E4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GLP-1/GCG双靶点；减少摄入并增加能量消耗；中国GLORY-1研究</w:t>
            </w:r>
          </w:p>
        </w:tc>
      </w:tr>
      <w:tr w14:paraId="4EA2C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6A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cAMP偏向型GLP-1RA</w:t>
            </w:r>
          </w:p>
        </w:tc>
        <w:tc>
          <w:tcPr>
            <w:tcW w:w="0" w:type="auto"/>
            <w:shd w:val="clear"/>
            <w:vAlign w:val="center"/>
          </w:tcPr>
          <w:p w14:paraId="71B5B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埃诺格鲁肽</w:t>
            </w:r>
          </w:p>
        </w:tc>
        <w:tc>
          <w:tcPr>
            <w:tcW w:w="0" w:type="auto"/>
            <w:shd w:val="clear"/>
            <w:vAlign w:val="center"/>
          </w:tcPr>
          <w:p w14:paraId="63193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先维盈®；先为达生物与辉瑞开展商业化合作</w:t>
            </w:r>
          </w:p>
        </w:tc>
        <w:tc>
          <w:tcPr>
            <w:tcW w:w="0" w:type="auto"/>
            <w:shd w:val="clear"/>
            <w:vAlign w:val="center"/>
          </w:tcPr>
          <w:p w14:paraId="30F00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单GLP-1R信号优化；中国SLIMMER研究；突出减重、持续性和胃肠道耐受性</w:t>
            </w:r>
          </w:p>
        </w:tc>
      </w:tr>
    </w:tbl>
    <w:p w14:paraId="472D68D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专业备注：</w:t>
      </w:r>
    </w:p>
    <w:p w14:paraId="13A825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公司信息只使用上传材料明确出现的内容； </w:t>
      </w:r>
    </w:p>
    <w:p w14:paraId="2B17B17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未注明企业的产品不自行补充； </w:t>
      </w:r>
    </w:p>
    <w:p w14:paraId="27B09E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各研究的患者、治疗周期和统计方法不同，表内减重数据不能直接比较。 </w:t>
      </w:r>
    </w:p>
    <w:p w14:paraId="2AC14411">
      <w:pPr>
        <w:pStyle w:val="5"/>
        <w:keepNext w:val="0"/>
        <w:keepLines w:val="0"/>
        <w:widowControl/>
        <w:suppressLineNumbers w:val="0"/>
      </w:pPr>
      <w:r>
        <w:t>**来源：**A第27—34页；C第13—16页；E第10—15页；J第7页；K第7—8页。</w:t>
      </w:r>
    </w:p>
    <w:p w14:paraId="655C833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954F3">
      <w:pPr>
        <w:pStyle w:val="3"/>
        <w:keepNext w:val="0"/>
        <w:keepLines w:val="0"/>
        <w:widowControl/>
        <w:suppressLineNumbers w:val="0"/>
      </w:pPr>
      <w:r>
        <w:t>第15页｜GLP-1类药物创新的三条路线</w:t>
      </w:r>
    </w:p>
    <w:p w14:paraId="4A651F58">
      <w:pPr>
        <w:pStyle w:val="4"/>
        <w:keepNext w:val="0"/>
        <w:keepLines w:val="0"/>
        <w:widowControl/>
        <w:suppressLineNumbers w:val="0"/>
      </w:pPr>
      <w:r>
        <w:t>路线一：延长作用时间</w:t>
      </w:r>
    </w:p>
    <w:p w14:paraId="1C9C83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从每日多次给药； </w:t>
      </w:r>
    </w:p>
    <w:p w14:paraId="438DA9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到每日一次； </w:t>
      </w:r>
    </w:p>
    <w:p w14:paraId="5B9357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再到每周一次； </w:t>
      </w:r>
    </w:p>
    <w:p w14:paraId="4648C01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通过提高给药便利性支持长期管理。 </w:t>
      </w:r>
    </w:p>
    <w:p w14:paraId="01693F4D">
      <w:pPr>
        <w:pStyle w:val="4"/>
        <w:keepNext w:val="0"/>
        <w:keepLines w:val="0"/>
        <w:widowControl/>
        <w:suppressLineNumbers w:val="0"/>
      </w:pPr>
      <w:r>
        <w:t>路线二：增加激动靶点</w:t>
      </w:r>
    </w:p>
    <w:p w14:paraId="787479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单GLP-1R； </w:t>
      </w:r>
    </w:p>
    <w:p w14:paraId="580A08F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GIP/GLP-1； </w:t>
      </w:r>
    </w:p>
    <w:p w14:paraId="77CAE6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GLP-1/GCG； </w:t>
      </w:r>
    </w:p>
    <w:p w14:paraId="161928B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GLP-1/GIP/GCG； </w:t>
      </w:r>
    </w:p>
    <w:p w14:paraId="447E21F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GLP-1与胰淀素等其他联合方向。 </w:t>
      </w:r>
    </w:p>
    <w:p w14:paraId="631797C2">
      <w:pPr>
        <w:pStyle w:val="4"/>
        <w:keepNext w:val="0"/>
        <w:keepLines w:val="0"/>
        <w:widowControl/>
        <w:suppressLineNumbers w:val="0"/>
      </w:pPr>
      <w:r>
        <w:t>路线三：优化同一受体内部信号</w:t>
      </w:r>
    </w:p>
    <w:p w14:paraId="22F309A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不增加额外受体； </w:t>
      </w:r>
    </w:p>
    <w:p w14:paraId="483593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优先增强GLP-1R激活后的cAMP信号； </w:t>
      </w:r>
    </w:p>
    <w:p w14:paraId="0A1761A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减少β-arrestin募集和受体内化； </w:t>
      </w:r>
    </w:p>
    <w:p w14:paraId="5716036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优化疗效信号与耐受相关信号之间的比例。 </w:t>
      </w:r>
    </w:p>
    <w:p w14:paraId="594B25B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本页结论：</w:t>
      </w:r>
    </w:p>
    <w:p w14:paraId="2061687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埃诺格鲁肽不是继续做“靶点加法”，而是通过对GLP-1R信号进行精准调控形成差异化。</w:t>
      </w:r>
    </w:p>
    <w:p w14:paraId="55E6F092">
      <w:pPr>
        <w:pStyle w:val="5"/>
        <w:keepNext w:val="0"/>
        <w:keepLines w:val="0"/>
        <w:widowControl/>
        <w:suppressLineNumbers w:val="0"/>
      </w:pPr>
      <w:r>
        <w:t>**来源：**J第7—12页；E第4—5、46—48页。</w:t>
      </w:r>
    </w:p>
    <w:p w14:paraId="3B97A26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CA0C9">
      <w:pPr>
        <w:pStyle w:val="3"/>
        <w:keepNext w:val="0"/>
        <w:keepLines w:val="0"/>
        <w:widowControl/>
        <w:suppressLineNumbers w:val="0"/>
      </w:pPr>
      <w:r>
        <w:t>第16页｜主要周制剂作用机制、共同点及优劣势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"/>
        <w:gridCol w:w="2411"/>
        <w:gridCol w:w="1493"/>
        <w:gridCol w:w="1900"/>
        <w:gridCol w:w="1915"/>
      </w:tblGrid>
      <w:tr w14:paraId="3232A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5286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F4F1B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埃诺格鲁肽</w:t>
            </w:r>
          </w:p>
        </w:tc>
        <w:tc>
          <w:tcPr>
            <w:tcW w:w="0" w:type="auto"/>
            <w:shd w:val="clear"/>
            <w:vAlign w:val="center"/>
          </w:tcPr>
          <w:p w14:paraId="4EF1B4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司美格鲁肽</w:t>
            </w:r>
          </w:p>
        </w:tc>
        <w:tc>
          <w:tcPr>
            <w:tcW w:w="0" w:type="auto"/>
            <w:shd w:val="clear"/>
            <w:vAlign w:val="center"/>
          </w:tcPr>
          <w:p w14:paraId="2CC159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玛仕度肽</w:t>
            </w:r>
          </w:p>
        </w:tc>
        <w:tc>
          <w:tcPr>
            <w:tcW w:w="0" w:type="auto"/>
            <w:shd w:val="clear"/>
            <w:vAlign w:val="center"/>
          </w:tcPr>
          <w:p w14:paraId="7B3E2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替尔泊肽</w:t>
            </w:r>
          </w:p>
        </w:tc>
      </w:tr>
      <w:tr w14:paraId="5276B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86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商品名</w:t>
            </w:r>
          </w:p>
        </w:tc>
        <w:tc>
          <w:tcPr>
            <w:tcW w:w="0" w:type="auto"/>
            <w:shd w:val="clear"/>
            <w:vAlign w:val="center"/>
          </w:tcPr>
          <w:p w14:paraId="4C645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先维盈®</w:t>
            </w:r>
          </w:p>
        </w:tc>
        <w:tc>
          <w:tcPr>
            <w:tcW w:w="0" w:type="auto"/>
            <w:shd w:val="clear"/>
            <w:vAlign w:val="center"/>
          </w:tcPr>
          <w:p w14:paraId="3C601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诺和盈®</w:t>
            </w:r>
          </w:p>
        </w:tc>
        <w:tc>
          <w:tcPr>
            <w:tcW w:w="0" w:type="auto"/>
            <w:shd w:val="clear"/>
            <w:vAlign w:val="center"/>
          </w:tcPr>
          <w:p w14:paraId="7A78A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信尔美®</w:t>
            </w:r>
          </w:p>
        </w:tc>
        <w:tc>
          <w:tcPr>
            <w:tcW w:w="0" w:type="auto"/>
            <w:shd w:val="clear"/>
            <w:vAlign w:val="center"/>
          </w:tcPr>
          <w:p w14:paraId="7DD6E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穆峰达®</w:t>
            </w:r>
          </w:p>
        </w:tc>
      </w:tr>
      <w:tr w14:paraId="48B22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80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F6BA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cAMP偏向型GLP-1RA</w:t>
            </w:r>
          </w:p>
        </w:tc>
        <w:tc>
          <w:tcPr>
            <w:tcW w:w="0" w:type="auto"/>
            <w:shd w:val="clear"/>
            <w:vAlign w:val="center"/>
          </w:tcPr>
          <w:p w14:paraId="4385E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GLP-1RA</w:t>
            </w:r>
          </w:p>
        </w:tc>
        <w:tc>
          <w:tcPr>
            <w:tcW w:w="0" w:type="auto"/>
            <w:shd w:val="clear"/>
            <w:vAlign w:val="center"/>
          </w:tcPr>
          <w:p w14:paraId="0EFB8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GLP-1/GCG</w:t>
            </w:r>
          </w:p>
        </w:tc>
        <w:tc>
          <w:tcPr>
            <w:tcW w:w="0" w:type="auto"/>
            <w:shd w:val="clear"/>
            <w:vAlign w:val="center"/>
          </w:tcPr>
          <w:p w14:paraId="19C1D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GIP/GLP-1</w:t>
            </w:r>
          </w:p>
        </w:tc>
      </w:tr>
      <w:tr w14:paraId="7BAC8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89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共同机制</w:t>
            </w:r>
          </w:p>
        </w:tc>
        <w:tc>
          <w:tcPr>
            <w:tcW w:w="0" w:type="auto"/>
            <w:shd w:val="clear"/>
            <w:vAlign w:val="center"/>
          </w:tcPr>
          <w:p w14:paraId="0EB15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激活GLP-1R、增加cAMP、增强胰岛素分泌并改善食欲控制</w:t>
            </w:r>
          </w:p>
        </w:tc>
        <w:tc>
          <w:tcPr>
            <w:tcW w:w="0" w:type="auto"/>
            <w:shd w:val="clear"/>
            <w:vAlign w:val="center"/>
          </w:tcPr>
          <w:p w14:paraId="21445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同左</w:t>
            </w:r>
          </w:p>
        </w:tc>
        <w:tc>
          <w:tcPr>
            <w:tcW w:w="0" w:type="auto"/>
            <w:shd w:val="clear"/>
            <w:vAlign w:val="center"/>
          </w:tcPr>
          <w:p w14:paraId="0CD48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同左</w:t>
            </w:r>
          </w:p>
        </w:tc>
        <w:tc>
          <w:tcPr>
            <w:tcW w:w="0" w:type="auto"/>
            <w:shd w:val="clear"/>
            <w:vAlign w:val="center"/>
          </w:tcPr>
          <w:p w14:paraId="565F6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同左</w:t>
            </w:r>
          </w:p>
        </w:tc>
      </w:tr>
      <w:tr w14:paraId="5139C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9D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差异机制</w:t>
            </w:r>
          </w:p>
        </w:tc>
        <w:tc>
          <w:tcPr>
            <w:tcW w:w="0" w:type="auto"/>
            <w:shd w:val="clear"/>
            <w:vAlign w:val="center"/>
          </w:tcPr>
          <w:p w14:paraId="26AED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更强cAMP、更少β-arrestin募集及受体内化</w:t>
            </w:r>
          </w:p>
        </w:tc>
        <w:tc>
          <w:tcPr>
            <w:tcW w:w="0" w:type="auto"/>
            <w:shd w:val="clear"/>
            <w:vAlign w:val="center"/>
          </w:tcPr>
          <w:p w14:paraId="32333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传统单GLP-1R激动</w:t>
            </w:r>
          </w:p>
        </w:tc>
        <w:tc>
          <w:tcPr>
            <w:tcW w:w="0" w:type="auto"/>
            <w:shd w:val="clear"/>
            <w:vAlign w:val="center"/>
          </w:tcPr>
          <w:p w14:paraId="0CB6A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额外激活GCGR，促进脂肪酸氧化和能量消耗</w:t>
            </w:r>
          </w:p>
        </w:tc>
        <w:tc>
          <w:tcPr>
            <w:tcW w:w="0" w:type="auto"/>
            <w:shd w:val="clear"/>
            <w:vAlign w:val="center"/>
          </w:tcPr>
          <w:p w14:paraId="420A6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额外激活GIPR，增强胰岛素及脂肪组织代谢</w:t>
            </w:r>
          </w:p>
        </w:tc>
      </w:tr>
      <w:tr w14:paraId="6854D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64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机制优势</w:t>
            </w:r>
          </w:p>
        </w:tc>
        <w:tc>
          <w:tcPr>
            <w:tcW w:w="0" w:type="auto"/>
            <w:shd w:val="clear"/>
            <w:vAlign w:val="center"/>
          </w:tcPr>
          <w:p w14:paraId="144F4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不增加靶点，支持持续信号及耐受性优化</w:t>
            </w:r>
          </w:p>
        </w:tc>
        <w:tc>
          <w:tcPr>
            <w:tcW w:w="0" w:type="auto"/>
            <w:shd w:val="clear"/>
            <w:vAlign w:val="center"/>
          </w:tcPr>
          <w:p w14:paraId="722EE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机制成熟，长期和心血管证据丰富</w:t>
            </w:r>
          </w:p>
        </w:tc>
        <w:tc>
          <w:tcPr>
            <w:tcW w:w="0" w:type="auto"/>
            <w:shd w:val="clear"/>
            <w:vAlign w:val="center"/>
          </w:tcPr>
          <w:p w14:paraId="10A68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“减少摄入＋增加消耗”</w:t>
            </w:r>
          </w:p>
        </w:tc>
        <w:tc>
          <w:tcPr>
            <w:tcW w:w="0" w:type="auto"/>
            <w:shd w:val="clear"/>
            <w:vAlign w:val="center"/>
          </w:tcPr>
          <w:p w14:paraId="7050D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双靶协同，降糖和减重幅度较高</w:t>
            </w:r>
          </w:p>
        </w:tc>
      </w:tr>
      <w:tr w14:paraId="4F96D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9D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资料提示的关注点</w:t>
            </w:r>
          </w:p>
        </w:tc>
        <w:tc>
          <w:tcPr>
            <w:tcW w:w="0" w:type="auto"/>
            <w:shd w:val="clear"/>
            <w:vAlign w:val="center"/>
          </w:tcPr>
          <w:p w14:paraId="629B7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长期心血管及真实世界证据仍需积累</w:t>
            </w:r>
          </w:p>
        </w:tc>
        <w:tc>
          <w:tcPr>
            <w:tcW w:w="0" w:type="auto"/>
            <w:shd w:val="clear"/>
            <w:vAlign w:val="center"/>
          </w:tcPr>
          <w:p w14:paraId="02EFA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胃肠道反应及停药反弹</w:t>
            </w:r>
          </w:p>
        </w:tc>
        <w:tc>
          <w:tcPr>
            <w:tcW w:w="0" w:type="auto"/>
            <w:shd w:val="clear"/>
            <w:vAlign w:val="center"/>
          </w:tcPr>
          <w:p w14:paraId="5533C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GCG通路可能伴静息心率升高</w:t>
            </w:r>
          </w:p>
        </w:tc>
        <w:tc>
          <w:tcPr>
            <w:tcW w:w="0" w:type="auto"/>
            <w:shd w:val="clear"/>
            <w:vAlign w:val="center"/>
          </w:tcPr>
          <w:p w14:paraId="7B8A4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胃肠道反应、脱发、平台期及停药反弹</w:t>
            </w:r>
          </w:p>
        </w:tc>
      </w:tr>
      <w:tr w14:paraId="783BC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60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给药频率</w:t>
            </w:r>
          </w:p>
        </w:tc>
        <w:tc>
          <w:tcPr>
            <w:tcW w:w="0" w:type="auto"/>
            <w:shd w:val="clear"/>
            <w:vAlign w:val="center"/>
          </w:tcPr>
          <w:p w14:paraId="5C437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每周一次</w:t>
            </w:r>
          </w:p>
        </w:tc>
        <w:tc>
          <w:tcPr>
            <w:tcW w:w="0" w:type="auto"/>
            <w:shd w:val="clear"/>
            <w:vAlign w:val="center"/>
          </w:tcPr>
          <w:p w14:paraId="56282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每周一次</w:t>
            </w:r>
          </w:p>
        </w:tc>
        <w:tc>
          <w:tcPr>
            <w:tcW w:w="0" w:type="auto"/>
            <w:shd w:val="clear"/>
            <w:vAlign w:val="center"/>
          </w:tcPr>
          <w:p w14:paraId="6B901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每周一次</w:t>
            </w:r>
          </w:p>
        </w:tc>
        <w:tc>
          <w:tcPr>
            <w:tcW w:w="0" w:type="auto"/>
            <w:shd w:val="clear"/>
            <w:vAlign w:val="center"/>
          </w:tcPr>
          <w:p w14:paraId="47C7B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每周一次</w:t>
            </w:r>
          </w:p>
        </w:tc>
      </w:tr>
    </w:tbl>
    <w:p w14:paraId="7B60543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专业备注：</w:t>
      </w:r>
    </w:p>
    <w:p w14:paraId="23EF80E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“机制优势与关注点”为上传培训资料中的总结，不是统一头对头研究结论。 </w:t>
      </w:r>
    </w:p>
    <w:p w14:paraId="6C3B19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靶点数量更多并不必然代表临床获益一定更优。 </w:t>
      </w:r>
    </w:p>
    <w:p w14:paraId="2F27AD6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β-arrestin与耐受性的关联属于机制解释，产品临床差异仍需随机对照研究验证。 </w:t>
      </w:r>
    </w:p>
    <w:p w14:paraId="5C6697B9">
      <w:pPr>
        <w:pStyle w:val="5"/>
        <w:keepNext w:val="0"/>
        <w:keepLines w:val="0"/>
        <w:widowControl/>
        <w:suppressLineNumbers w:val="0"/>
      </w:pPr>
      <w:r>
        <w:t>**来源：**G第4—5页；J第8—12页。</w:t>
      </w:r>
    </w:p>
    <w:p w14:paraId="52FBB4E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BCCF7">
      <w:pPr>
        <w:pStyle w:val="2"/>
        <w:keepNext w:val="0"/>
        <w:keepLines w:val="0"/>
        <w:widowControl/>
        <w:suppressLineNumbers w:val="0"/>
      </w:pPr>
      <w:r>
        <w:t>第五部分｜埃诺格鲁肽偏向性机制</w:t>
      </w:r>
    </w:p>
    <w:p w14:paraId="107A61DD">
      <w:pPr>
        <w:pStyle w:val="3"/>
        <w:keepNext w:val="0"/>
        <w:keepLines w:val="0"/>
        <w:widowControl/>
        <w:suppressLineNumbers w:val="0"/>
      </w:pPr>
      <w:r>
        <w:t>第17页｜埃诺格鲁肽的产品定位</w:t>
      </w:r>
    </w:p>
    <w:p w14:paraId="60EADB42">
      <w:pPr>
        <w:pStyle w:val="5"/>
        <w:keepNext w:val="0"/>
        <w:keepLines w:val="0"/>
        <w:widowControl/>
        <w:suppressLineNumbers w:val="0"/>
      </w:pPr>
      <w:r>
        <w:t>埃诺格鲁肽是：</w:t>
      </w:r>
    </w:p>
    <w:p w14:paraId="54F5391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新一代cAMP偏向型单靶点GLP-1受体激动剂。</w:t>
      </w:r>
    </w:p>
    <w:p w14:paraId="0D6D6F36">
      <w:pPr>
        <w:pStyle w:val="5"/>
        <w:keepNext w:val="0"/>
        <w:keepLines w:val="0"/>
        <w:widowControl/>
        <w:suppressLineNumbers w:val="0"/>
      </w:pPr>
      <w:r>
        <w:t>上传材料将其定位为：</w:t>
      </w:r>
    </w:p>
    <w:p w14:paraId="6D583E5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全球首个获批的cAMP单靶点偏向型GLP-1RA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——该表述基于材料截至2026年3月3日的资料口径。</w:t>
      </w:r>
    </w:p>
    <w:p w14:paraId="66B39E2A">
      <w:pPr>
        <w:pStyle w:val="5"/>
        <w:keepNext w:val="0"/>
        <w:keepLines w:val="0"/>
        <w:widowControl/>
        <w:suppressLineNumbers w:val="0"/>
      </w:pPr>
      <w:r>
        <w:t>产品特点：</w:t>
      </w:r>
    </w:p>
    <w:p w14:paraId="3B644E4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每周一次； </w:t>
      </w:r>
    </w:p>
    <w:p w14:paraId="49C9A96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激活单一GLP-1受体； </w:t>
      </w:r>
    </w:p>
    <w:p w14:paraId="41AAAD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不依赖增加GIP或GCG靶点； </w:t>
      </w:r>
    </w:p>
    <w:p w14:paraId="5663A3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通过优化受体下游信号形成差异化； </w:t>
      </w:r>
    </w:p>
    <w:p w14:paraId="2267970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拥有中国人群Ⅲ期减重研究； </w:t>
      </w:r>
    </w:p>
    <w:p w14:paraId="152B8A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用于成人长期体重管理。 </w:t>
      </w:r>
    </w:p>
    <w:p w14:paraId="4F750601">
      <w:pPr>
        <w:pStyle w:val="5"/>
        <w:keepNext w:val="0"/>
        <w:keepLines w:val="0"/>
        <w:widowControl/>
        <w:suppressLineNumbers w:val="0"/>
      </w:pPr>
      <w:r>
        <w:t>核心价值：</w:t>
      </w:r>
    </w:p>
    <w:p w14:paraId="37A9C5B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强效减重； </w:t>
      </w:r>
    </w:p>
    <w:p w14:paraId="7BA3E5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高应答率； </w:t>
      </w:r>
    </w:p>
    <w:p w14:paraId="553029B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持续减重； </w:t>
      </w:r>
    </w:p>
    <w:p w14:paraId="432AE7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胃肠道负担较轻； </w:t>
      </w:r>
    </w:p>
    <w:p w14:paraId="4F7CFC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多项代谢指标改善。 </w:t>
      </w:r>
    </w:p>
    <w:p w14:paraId="79A0F868">
      <w:pPr>
        <w:pStyle w:val="5"/>
        <w:keepNext w:val="0"/>
        <w:keepLines w:val="0"/>
        <w:widowControl/>
        <w:suppressLineNumbers w:val="0"/>
      </w:pPr>
      <w:r>
        <w:t>**来源：**J第13页；H第1页。</w:t>
      </w:r>
    </w:p>
    <w:p w14:paraId="3073CB7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CDAE5">
      <w:pPr>
        <w:pStyle w:val="3"/>
        <w:keepNext w:val="0"/>
        <w:keepLines w:val="0"/>
        <w:widowControl/>
        <w:suppressLineNumbers w:val="0"/>
      </w:pPr>
      <w:r>
        <w:t>第18页｜埃诺格鲁肽的分子结构设计</w:t>
      </w:r>
    </w:p>
    <w:p w14:paraId="3D5C098D">
      <w:pPr>
        <w:pStyle w:val="4"/>
        <w:keepNext w:val="0"/>
        <w:keepLines w:val="0"/>
        <w:widowControl/>
        <w:suppressLineNumbers w:val="0"/>
      </w:pPr>
      <w:r>
        <w:t>第8位氨基酸修饰</w:t>
      </w:r>
    </w:p>
    <w:p w14:paraId="708742B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第8位丙氨酸替换为缬氨酸； </w:t>
      </w:r>
    </w:p>
    <w:p w14:paraId="1452CB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上传资料表述该修饰可促进cAMP生成； </w:t>
      </w:r>
    </w:p>
    <w:p w14:paraId="4DF155E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同时抑制GLP-1受体内化。 </w:t>
      </w:r>
    </w:p>
    <w:p w14:paraId="7453806D">
      <w:pPr>
        <w:pStyle w:val="4"/>
        <w:keepNext w:val="0"/>
        <w:keepLines w:val="0"/>
        <w:widowControl/>
        <w:suppressLineNumbers w:val="0"/>
      </w:pPr>
      <w:r>
        <w:t>第30位及脂肪酸修饰</w:t>
      </w:r>
    </w:p>
    <w:p w14:paraId="790978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第30位丙氨酸替换为赖氨酸； </w:t>
      </w:r>
    </w:p>
    <w:p w14:paraId="5A2CBF2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通过γGlu-2×AEEA连接子； </w:t>
      </w:r>
    </w:p>
    <w:p w14:paraId="74D090F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偶联C18二酸脂肪酸。 </w:t>
      </w:r>
    </w:p>
    <w:p w14:paraId="0D828B13">
      <w:pPr>
        <w:pStyle w:val="4"/>
        <w:keepNext w:val="0"/>
        <w:keepLines w:val="0"/>
        <w:widowControl/>
        <w:suppressLineNumbers w:val="0"/>
      </w:pPr>
      <w:r>
        <w:t>药代设计目的</w:t>
      </w:r>
    </w:p>
    <w:p w14:paraId="483FA25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增强与白蛋白结合； </w:t>
      </w:r>
    </w:p>
    <w:p w14:paraId="1BB184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降低肾脏清除； </w:t>
      </w:r>
    </w:p>
    <w:p w14:paraId="2DDED81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保护多肽不被快速代谢降解； </w:t>
      </w:r>
    </w:p>
    <w:p w14:paraId="4CD7708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延长半衰期； </w:t>
      </w:r>
    </w:p>
    <w:p w14:paraId="13C3FBB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实现每周一次给药。 </w:t>
      </w:r>
    </w:p>
    <w:p w14:paraId="015DDDCB">
      <w:pPr>
        <w:pStyle w:val="5"/>
        <w:keepNext w:val="0"/>
        <w:keepLines w:val="0"/>
        <w:widowControl/>
        <w:suppressLineNumbers w:val="0"/>
      </w:pPr>
      <w:r>
        <w:t>上传资料将埃诺格鲁肽表述为：</w:t>
      </w:r>
    </w:p>
    <w:p w14:paraId="0C7A278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由100%天然氨基酸组成。</w:t>
      </w:r>
    </w:p>
    <w:p w14:paraId="27301D2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专业备注：</w:t>
      </w:r>
    </w:p>
    <w:p w14:paraId="0FF7085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关于“天然氨基酸带来低免疫原性、代谢安全性和更高选择性”的表述来源于内部培训材料，对外使用时应严格按照批准材料范围。</w:t>
      </w:r>
    </w:p>
    <w:p w14:paraId="62BF994E">
      <w:pPr>
        <w:pStyle w:val="5"/>
        <w:keepNext w:val="0"/>
        <w:keepLines w:val="0"/>
        <w:widowControl/>
        <w:suppressLineNumbers w:val="0"/>
      </w:pPr>
      <w:r>
        <w:t>**来源：**G第4页；H第3页。</w:t>
      </w:r>
    </w:p>
    <w:p w14:paraId="700F42F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AF3A6">
      <w:pPr>
        <w:pStyle w:val="3"/>
        <w:keepNext w:val="0"/>
        <w:keepLines w:val="0"/>
        <w:widowControl/>
        <w:suppressLineNumbers w:val="0"/>
      </w:pPr>
      <w:r>
        <w:t>第19页｜GLP-1R与cAMP信号</w:t>
      </w:r>
    </w:p>
    <w:p w14:paraId="4DFF2B1F">
      <w:pPr>
        <w:pStyle w:val="5"/>
        <w:keepNext w:val="0"/>
        <w:keepLines w:val="0"/>
        <w:widowControl/>
        <w:suppressLineNumbers w:val="0"/>
      </w:pPr>
      <w:r>
        <w:t>GLP-1受体属于G蛋白偶联受体。</w:t>
      </w:r>
    </w:p>
    <w:p w14:paraId="5A972B9C">
      <w:pPr>
        <w:pStyle w:val="5"/>
        <w:keepNext w:val="0"/>
        <w:keepLines w:val="0"/>
        <w:widowControl/>
        <w:suppressLineNumbers w:val="0"/>
      </w:pPr>
      <w:r>
        <w:t>药物与GLP-1R结合后：</w:t>
      </w:r>
    </w:p>
    <w:p w14:paraId="4EF23EF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GLP-1R激活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Gs蛋白信号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cAMP生成增加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下游代谢信号启动</w:t>
      </w:r>
    </w:p>
    <w:p w14:paraId="03E2F141">
      <w:pPr>
        <w:pStyle w:val="5"/>
        <w:keepNext w:val="0"/>
        <w:keepLines w:val="0"/>
        <w:widowControl/>
        <w:suppressLineNumbers w:val="0"/>
      </w:pPr>
      <w:r>
        <w:t>上传资料将cAMP通路与以下功能联系：</w:t>
      </w:r>
    </w:p>
    <w:p w14:paraId="74DB072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胰岛素分泌； </w:t>
      </w:r>
    </w:p>
    <w:p w14:paraId="4964F6B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食欲抑制； </w:t>
      </w:r>
    </w:p>
    <w:p w14:paraId="2E1DEF4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饱腹感增强； </w:t>
      </w:r>
    </w:p>
    <w:p w14:paraId="3B31492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能量和糖代谢调节； </w:t>
      </w:r>
    </w:p>
    <w:p w14:paraId="52F88BB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减重及降糖。 </w:t>
      </w:r>
    </w:p>
    <w:p w14:paraId="1A1D2EF4">
      <w:pPr>
        <w:pStyle w:val="5"/>
        <w:keepNext w:val="0"/>
        <w:keepLines w:val="0"/>
        <w:widowControl/>
        <w:suppressLineNumbers w:val="0"/>
      </w:pPr>
      <w:r>
        <w:t>四种主要周制剂的共同基础是：</w:t>
      </w:r>
    </w:p>
    <w:p w14:paraId="59E3B6E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都包含GLP-1R激活和cAMP信号。</w:t>
      </w:r>
    </w:p>
    <w:p w14:paraId="4C51D76D">
      <w:pPr>
        <w:pStyle w:val="5"/>
        <w:keepNext w:val="0"/>
        <w:keepLines w:val="0"/>
        <w:widowControl/>
        <w:suppressLineNumbers w:val="0"/>
      </w:pPr>
      <w:r>
        <w:t>差异在于：</w:t>
      </w:r>
    </w:p>
    <w:p w14:paraId="73E4ACE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是否同时激活GIPR或GCGR； </w:t>
      </w:r>
    </w:p>
    <w:p w14:paraId="1EEE56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激活GLP-1R后，信号是否更偏向cAMP或β-arrestin。 </w:t>
      </w:r>
    </w:p>
    <w:p w14:paraId="61E008CE">
      <w:pPr>
        <w:pStyle w:val="5"/>
        <w:keepNext w:val="0"/>
        <w:keepLines w:val="0"/>
        <w:widowControl/>
        <w:suppressLineNumbers w:val="0"/>
      </w:pPr>
      <w:r>
        <w:t>**来源：**G第5页；J第11页。</w:t>
      </w:r>
    </w:p>
    <w:p w14:paraId="281B9E3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66A91">
      <w:pPr>
        <w:pStyle w:val="3"/>
        <w:keepNext w:val="0"/>
        <w:keepLines w:val="0"/>
        <w:widowControl/>
        <w:suppressLineNumbers w:val="0"/>
      </w:pPr>
      <w:r>
        <w:t>第20页｜β-arrestin募集、受体脱敏与内化</w:t>
      </w:r>
    </w:p>
    <w:p w14:paraId="2A98E864">
      <w:pPr>
        <w:pStyle w:val="5"/>
        <w:keepNext w:val="0"/>
        <w:keepLines w:val="0"/>
        <w:widowControl/>
        <w:suppressLineNumbers w:val="0"/>
      </w:pPr>
      <w:r>
        <w:t>受体持续被激活后：</w:t>
      </w:r>
    </w:p>
    <w:p w14:paraId="65DE69A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受体磷酸化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β-arrestin被募集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G蛋白信号受到限制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受体脱敏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受体内化进入细胞</w:t>
      </w:r>
    </w:p>
    <w:p w14:paraId="251E9BD9">
      <w:pPr>
        <w:pStyle w:val="5"/>
        <w:keepNext w:val="0"/>
        <w:keepLines w:val="0"/>
        <w:widowControl/>
        <w:suppressLineNumbers w:val="0"/>
      </w:pPr>
      <w:r>
        <w:t>上传材料中的解释：</w:t>
      </w:r>
    </w:p>
    <w:p w14:paraId="3EB65C4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受体从细胞膜表面进入细胞； </w:t>
      </w:r>
    </w:p>
    <w:p w14:paraId="3EE773E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细胞膜上能够继续结合药物的受体减少； </w:t>
      </w:r>
    </w:p>
    <w:p w14:paraId="5505A9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cAMP持续信号可能受到限制； </w:t>
      </w:r>
    </w:p>
    <w:p w14:paraId="3A7C149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β-arrestin相关通路可能与部分胃肠道反应有关。 </w:t>
      </w:r>
    </w:p>
    <w:p w14:paraId="349FAE86">
      <w:pPr>
        <w:pStyle w:val="4"/>
        <w:keepNext w:val="0"/>
        <w:keepLines w:val="0"/>
        <w:widowControl/>
        <w:suppressLineNumbers w:val="0"/>
      </w:pPr>
      <w:r>
        <w:t>专业概念说明</w:t>
      </w:r>
    </w:p>
    <w:p w14:paraId="0C0D24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β-arrestin不是“受体细胞”</w:t>
      </w:r>
      <w:r>
        <w:t xml:space="preserve">； </w:t>
      </w:r>
    </w:p>
    <w:p w14:paraId="0C3924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它是受体激活后被募集到受体附近的调节蛋白； </w:t>
      </w:r>
    </w:p>
    <w:p w14:paraId="32B430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β-arrestin也可以参与其他细胞信号，并非单纯“有害物质”。 </w:t>
      </w:r>
    </w:p>
    <w:p w14:paraId="12597481">
      <w:pPr>
        <w:pStyle w:val="5"/>
        <w:keepNext w:val="0"/>
        <w:keepLines w:val="0"/>
        <w:widowControl/>
        <w:suppressLineNumbers w:val="0"/>
      </w:pPr>
      <w:r>
        <w:t>**来源：**J第11—12页；G第5页。</w:t>
      </w:r>
    </w:p>
    <w:p w14:paraId="333B932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1113D">
      <w:pPr>
        <w:pStyle w:val="3"/>
        <w:keepNext w:val="0"/>
        <w:keepLines w:val="0"/>
        <w:widowControl/>
        <w:suppressLineNumbers w:val="0"/>
      </w:pPr>
      <w:r>
        <w:t>第21页｜什么是cAMP偏向性激动</w:t>
      </w:r>
    </w:p>
    <w:p w14:paraId="22EDD3C8">
      <w:pPr>
        <w:pStyle w:val="4"/>
        <w:keepNext w:val="0"/>
        <w:keepLines w:val="0"/>
        <w:widowControl/>
        <w:suppressLineNumbers w:val="0"/>
      </w:pPr>
      <w:r>
        <w:t>传统平衡型激动</w:t>
      </w:r>
    </w:p>
    <w:p w14:paraId="5645E8AE">
      <w:pPr>
        <w:pStyle w:val="5"/>
        <w:keepNext w:val="0"/>
        <w:keepLines w:val="0"/>
        <w:widowControl/>
        <w:suppressLineNumbers w:val="0"/>
      </w:pPr>
      <w:r>
        <w:t>传统GLP-1RA激活受体后，可同时启动：</w:t>
      </w:r>
    </w:p>
    <w:p w14:paraId="323D3C5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G蛋白/cAMP通路； </w:t>
      </w:r>
    </w:p>
    <w:p w14:paraId="042DD4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β-arrestin相关通路。 </w:t>
      </w:r>
    </w:p>
    <w:p w14:paraId="052614EF">
      <w:pPr>
        <w:pStyle w:val="4"/>
        <w:keepNext w:val="0"/>
        <w:keepLines w:val="0"/>
        <w:widowControl/>
        <w:suppressLineNumbers w:val="0"/>
      </w:pPr>
      <w:r>
        <w:t>埃诺格鲁肽的偏向性激动</w:t>
      </w:r>
    </w:p>
    <w:p w14:paraId="6E8EBDA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相对更强地促进cAMP生成； </w:t>
      </w:r>
    </w:p>
    <w:p w14:paraId="2FF7024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相对更少地募集β-arrestin； </w:t>
      </w:r>
    </w:p>
    <w:p w14:paraId="2C5CF0A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减少受体脱敏和内化； </w:t>
      </w:r>
    </w:p>
    <w:p w14:paraId="493950F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使更多GLP-1R继续保留在细胞膜表面； </w:t>
      </w:r>
    </w:p>
    <w:p w14:paraId="7AD4616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支持有效信号持续。 </w:t>
      </w:r>
    </w:p>
    <w:p w14:paraId="4F66D3CC">
      <w:pPr>
        <w:pStyle w:val="4"/>
        <w:keepNext w:val="0"/>
        <w:keepLines w:val="0"/>
        <w:widowControl/>
        <w:suppressLineNumbers w:val="0"/>
      </w:pPr>
      <w:r>
        <w:t>上传资料中的比喻</w:t>
      </w:r>
    </w:p>
    <w:p w14:paraId="2979858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cAMP信号类似“油门”； </w:t>
      </w:r>
    </w:p>
    <w:p w14:paraId="6B41AA4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β-arrestin介导的脱敏和内化类似“刹车和回收机制”； </w:t>
      </w:r>
    </w:p>
    <w:p w14:paraId="1C2AC40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偏向性并不是完全取消刹车； </w:t>
      </w:r>
    </w:p>
    <w:p w14:paraId="7B32A41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而是优化两类信号之间的相对比例。 </w:t>
      </w:r>
    </w:p>
    <w:p w14:paraId="68ABDB44">
      <w:pPr>
        <w:pStyle w:val="5"/>
        <w:keepNext w:val="0"/>
        <w:keepLines w:val="0"/>
        <w:widowControl/>
        <w:suppressLineNumbers w:val="0"/>
      </w:pPr>
      <w:r>
        <w:t>**来源：**J第11—12页；H第1—2页。</w:t>
      </w:r>
    </w:p>
    <w:p w14:paraId="2F2B43C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882F7">
      <w:pPr>
        <w:pStyle w:val="3"/>
        <w:keepNext w:val="0"/>
        <w:keepLines w:val="0"/>
        <w:widowControl/>
        <w:suppressLineNumbers w:val="0"/>
      </w:pPr>
      <w:r>
        <w:t>第22页｜从偏向性机制到临床价值</w:t>
      </w:r>
    </w:p>
    <w:p w14:paraId="14C01367">
      <w:pPr>
        <w:pStyle w:val="4"/>
        <w:keepNext w:val="0"/>
        <w:keepLines w:val="0"/>
        <w:widowControl/>
        <w:suppressLineNumbers w:val="0"/>
      </w:pPr>
      <w:r>
        <w:t>上传资料建立的机制链条</w:t>
      </w:r>
    </w:p>
    <w:p w14:paraId="35F87CF2">
      <w:pPr>
        <w:pStyle w:val="5"/>
        <w:keepNext w:val="0"/>
        <w:keepLines w:val="0"/>
        <w:widowControl/>
        <w:suppressLineNumbers w:val="0"/>
      </w:pPr>
      <w:r>
        <w:t>cAMP信号增强</w:t>
      </w:r>
      <w:r>
        <w:br w:type="textWrapping"/>
      </w:r>
      <w:r>
        <w:t>＋β-arrestin募集减少</w:t>
      </w:r>
      <w:r>
        <w:br w:type="textWrapping"/>
      </w:r>
      <w:r>
        <w:t>↓</w:t>
      </w:r>
      <w:r>
        <w:br w:type="textWrapping"/>
      </w:r>
      <w:r>
        <w:t>受体脱敏和内化减少</w:t>
      </w:r>
      <w:r>
        <w:br w:type="textWrapping"/>
      </w:r>
      <w:r>
        <w:t>↓</w:t>
      </w:r>
      <w:r>
        <w:br w:type="textWrapping"/>
      </w:r>
      <w:r>
        <w:t>更多GLP-1R保留于细胞膜表面</w:t>
      </w:r>
      <w:r>
        <w:br w:type="textWrapping"/>
      </w:r>
      <w:r>
        <w:t>↓</w:t>
      </w:r>
      <w:r>
        <w:br w:type="textWrapping"/>
      </w:r>
      <w:r>
        <w:t>cAMP有效信号持续</w:t>
      </w:r>
      <w:r>
        <w:br w:type="textWrapping"/>
      </w:r>
      <w:r>
        <w:t>↓</w:t>
      </w:r>
      <w:r>
        <w:br w:type="textWrapping"/>
      </w:r>
      <w:r>
        <w:t>支持持续减重、降糖和代谢调节</w:t>
      </w:r>
    </w:p>
    <w:p w14:paraId="4BF0EDA9">
      <w:pPr>
        <w:pStyle w:val="5"/>
        <w:keepNext w:val="0"/>
        <w:keepLines w:val="0"/>
        <w:widowControl/>
        <w:suppressLineNumbers w:val="0"/>
      </w:pPr>
      <w:r>
        <w:t>同时：</w:t>
      </w:r>
    </w:p>
    <w:p w14:paraId="003E9EA6">
      <w:pPr>
        <w:pStyle w:val="5"/>
        <w:keepNext w:val="0"/>
        <w:keepLines w:val="0"/>
        <w:widowControl/>
        <w:suppressLineNumbers w:val="0"/>
      </w:pPr>
      <w:r>
        <w:t>β-arrestin相关激活减少</w:t>
      </w:r>
      <w:r>
        <w:br w:type="textWrapping"/>
      </w:r>
      <w:r>
        <w:t>↓</w:t>
      </w:r>
      <w:r>
        <w:br w:type="textWrapping"/>
      </w:r>
      <w:r>
        <w:t>可能减少部分胃肠道负担</w:t>
      </w:r>
      <w:r>
        <w:br w:type="textWrapping"/>
      </w:r>
      <w:r>
        <w:t>↓</w:t>
      </w:r>
      <w:r>
        <w:br w:type="textWrapping"/>
      </w:r>
      <w:r>
        <w:t>有利于患者完成剂量递增和长期治疗</w:t>
      </w:r>
    </w:p>
    <w:p w14:paraId="3D9D80AC">
      <w:pPr>
        <w:pStyle w:val="4"/>
        <w:keepNext w:val="0"/>
        <w:keepLines w:val="0"/>
        <w:widowControl/>
        <w:suppressLineNumbers w:val="0"/>
      </w:pPr>
      <w:r>
        <w:t>专业备注</w:t>
      </w:r>
    </w:p>
    <w:p w14:paraId="35F8F66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本页属于“分子机制—临床表现”的解释链。机制本身不能直接证明临床优效，最终需要SLIMMER和头对头研究的疗效、安全性数据共同支持。</w:t>
      </w:r>
    </w:p>
    <w:p w14:paraId="155AED11">
      <w:pPr>
        <w:pStyle w:val="5"/>
        <w:keepNext w:val="0"/>
        <w:keepLines w:val="0"/>
        <w:widowControl/>
        <w:suppressLineNumbers w:val="0"/>
      </w:pPr>
      <w:r>
        <w:t>**来源：**G第5页；J第12—16页。</w:t>
      </w:r>
    </w:p>
    <w:p w14:paraId="75A8EDB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26304">
      <w:pPr>
        <w:pStyle w:val="2"/>
        <w:keepNext w:val="0"/>
        <w:keepLines w:val="0"/>
        <w:widowControl/>
        <w:suppressLineNumbers w:val="0"/>
      </w:pPr>
      <w:r>
        <w:t>第六部分｜中国核心减重研究</w:t>
      </w:r>
    </w:p>
    <w:p w14:paraId="1ABD45D3">
      <w:pPr>
        <w:pStyle w:val="3"/>
        <w:keepNext w:val="0"/>
        <w:keepLines w:val="0"/>
        <w:widowControl/>
        <w:suppressLineNumbers w:val="0"/>
      </w:pPr>
      <w:r>
        <w:t>第23页｜埃诺格鲁肽及SLIMMER研究简介</w:t>
      </w:r>
    </w:p>
    <w:p w14:paraId="2C56D1D7">
      <w:pPr>
        <w:pStyle w:val="4"/>
        <w:keepNext w:val="0"/>
        <w:keepLines w:val="0"/>
        <w:widowControl/>
        <w:suppressLineNumbers w:val="0"/>
      </w:pPr>
      <w:r>
        <w:t>产品信息</w:t>
      </w:r>
    </w:p>
    <w:p w14:paraId="0A5BF1A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通用名：埃诺格鲁肽； </w:t>
      </w:r>
    </w:p>
    <w:p w14:paraId="66B7F95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商品名：先维盈®； </w:t>
      </w:r>
    </w:p>
    <w:p w14:paraId="1B987F0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类型：cAMP偏向型GLP-1RA； </w:t>
      </w:r>
    </w:p>
    <w:p w14:paraId="4BC39DB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上传商业资料明确：先为达生物与辉瑞开展商业化战略合作。 </w:t>
      </w:r>
    </w:p>
    <w:p w14:paraId="5F317AB1">
      <w:pPr>
        <w:pStyle w:val="4"/>
        <w:keepNext w:val="0"/>
        <w:keepLines w:val="0"/>
        <w:widowControl/>
        <w:suppressLineNumbers w:val="0"/>
      </w:pPr>
      <w:r>
        <w:t>SLIMMER研究设计</w:t>
      </w:r>
    </w:p>
    <w:p w14:paraId="2D54F2D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中国36家医院； </w:t>
      </w:r>
    </w:p>
    <w:p w14:paraId="3A1096C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664例成人超重或肥胖患者； </w:t>
      </w:r>
    </w:p>
    <w:p w14:paraId="76BC05D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多中心、随机、双盲、安慰剂对照Ⅲ期研究； </w:t>
      </w:r>
    </w:p>
    <w:p w14:paraId="7DAE55A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随机比例：3∶3∶3∶1∶1∶1； </w:t>
      </w:r>
    </w:p>
    <w:p w14:paraId="5363D07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埃诺格鲁肽1.2 mg、1.8 mg、2.4 mg； </w:t>
      </w:r>
    </w:p>
    <w:p w14:paraId="14861E4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对应三个剂量匹配安慰剂； </w:t>
      </w:r>
    </w:p>
    <w:p w14:paraId="088D4F3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治疗48周； </w:t>
      </w:r>
    </w:p>
    <w:p w14:paraId="66B599B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停药后继续随访7周。 </w:t>
      </w:r>
    </w:p>
    <w:p w14:paraId="398458A9">
      <w:pPr>
        <w:pStyle w:val="4"/>
        <w:keepNext w:val="0"/>
        <w:keepLines w:val="0"/>
        <w:widowControl/>
        <w:suppressLineNumbers w:val="0"/>
      </w:pPr>
      <w:r>
        <w:t>主要终点</w:t>
      </w:r>
    </w:p>
    <w:p w14:paraId="0DF4D6B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第40周体重较基线百分比变化； </w:t>
      </w:r>
    </w:p>
    <w:p w14:paraId="056FD5C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第40周减重≥5%的患者比例。 </w:t>
      </w:r>
    </w:p>
    <w:p w14:paraId="7C594776">
      <w:pPr>
        <w:pStyle w:val="4"/>
        <w:keepNext w:val="0"/>
        <w:keepLines w:val="0"/>
        <w:widowControl/>
        <w:suppressLineNumbers w:val="0"/>
      </w:pPr>
      <w:r>
        <w:t>其他终点</w:t>
      </w:r>
    </w:p>
    <w:p w14:paraId="2A58D4E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第48周体重及减重达标率； </w:t>
      </w:r>
    </w:p>
    <w:p w14:paraId="0066A04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BMI、腰围及臀围； </w:t>
      </w:r>
    </w:p>
    <w:p w14:paraId="0AAAB19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血压、血脂和血糖； </w:t>
      </w:r>
    </w:p>
    <w:p w14:paraId="063851F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空腹胰岛素及HOMA-IR； </w:t>
      </w:r>
    </w:p>
    <w:p w14:paraId="121872B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肝酶、肝脂及尿酸； </w:t>
      </w:r>
    </w:p>
    <w:p w14:paraId="5502577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生活质量及安全性。 </w:t>
      </w:r>
    </w:p>
    <w:p w14:paraId="5B2C1CFB">
      <w:pPr>
        <w:pStyle w:val="5"/>
        <w:keepNext w:val="0"/>
        <w:keepLines w:val="0"/>
        <w:widowControl/>
        <w:suppressLineNumbers w:val="0"/>
      </w:pPr>
      <w:r>
        <w:t>**来源：**G第10页及SLIMMER研究设计部分；J第13页。</w:t>
      </w:r>
    </w:p>
    <w:p w14:paraId="4A0C654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5B238">
      <w:pPr>
        <w:pStyle w:val="3"/>
        <w:keepNext w:val="0"/>
        <w:keepLines w:val="0"/>
        <w:widowControl/>
        <w:suppressLineNumbers w:val="0"/>
      </w:pPr>
      <w:r>
        <w:t>第24页｜SLIMMER核心结果及优劣势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5"/>
        <w:gridCol w:w="3435"/>
      </w:tblGrid>
      <w:tr w14:paraId="4978E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E05C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04A1C2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埃诺格鲁肽核心数据</w:t>
            </w:r>
          </w:p>
        </w:tc>
      </w:tr>
      <w:tr w14:paraId="4C67A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CB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核心剂量</w:t>
            </w:r>
          </w:p>
        </w:tc>
        <w:tc>
          <w:tcPr>
            <w:tcW w:w="0" w:type="auto"/>
            <w:shd w:val="clear"/>
            <w:vAlign w:val="center"/>
          </w:tcPr>
          <w:p w14:paraId="1E451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 mg</w:t>
            </w:r>
          </w:p>
        </w:tc>
      </w:tr>
      <w:tr w14:paraId="5766D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2D3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治疗时间</w:t>
            </w:r>
          </w:p>
        </w:tc>
        <w:tc>
          <w:tcPr>
            <w:tcW w:w="0" w:type="auto"/>
            <w:shd w:val="clear"/>
            <w:vAlign w:val="center"/>
          </w:tcPr>
          <w:p w14:paraId="47E53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</w:t>
            </w:r>
          </w:p>
        </w:tc>
      </w:tr>
      <w:tr w14:paraId="6A898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84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体重较基线LSM变化</w:t>
            </w:r>
          </w:p>
        </w:tc>
        <w:tc>
          <w:tcPr>
            <w:tcW w:w="0" w:type="auto"/>
            <w:shd w:val="clear"/>
            <w:vAlign w:val="center"/>
          </w:tcPr>
          <w:p w14:paraId="30C7E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−15.4%</w:t>
            </w:r>
          </w:p>
        </w:tc>
      </w:tr>
      <w:tr w14:paraId="18860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4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减重≥5%</w:t>
            </w:r>
          </w:p>
        </w:tc>
        <w:tc>
          <w:tcPr>
            <w:tcW w:w="0" w:type="auto"/>
            <w:shd w:val="clear"/>
            <w:vAlign w:val="center"/>
          </w:tcPr>
          <w:p w14:paraId="2A83C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93%</w:t>
            </w:r>
          </w:p>
        </w:tc>
      </w:tr>
      <w:tr w14:paraId="4F23D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1F2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中国女性平均减重</w:t>
            </w:r>
          </w:p>
        </w:tc>
        <w:tc>
          <w:tcPr>
            <w:tcW w:w="0" w:type="auto"/>
            <w:shd w:val="clear"/>
            <w:vAlign w:val="center"/>
          </w:tcPr>
          <w:p w14:paraId="1AA1D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−17.6%</w:t>
            </w:r>
          </w:p>
        </w:tc>
      </w:tr>
      <w:tr w14:paraId="5440F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F4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腰围变化</w:t>
            </w:r>
          </w:p>
        </w:tc>
        <w:tc>
          <w:tcPr>
            <w:tcW w:w="0" w:type="auto"/>
            <w:shd w:val="clear"/>
            <w:vAlign w:val="center"/>
          </w:tcPr>
          <w:p w14:paraId="76BA5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−12.8 cm</w:t>
            </w:r>
          </w:p>
        </w:tc>
      </w:tr>
      <w:tr w14:paraId="1A63B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80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臀围变化</w:t>
            </w:r>
          </w:p>
        </w:tc>
        <w:tc>
          <w:tcPr>
            <w:tcW w:w="0" w:type="auto"/>
            <w:shd w:val="clear"/>
            <w:vAlign w:val="center"/>
          </w:tcPr>
          <w:p w14:paraId="22DD5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−9.1 cm</w:t>
            </w:r>
          </w:p>
        </w:tc>
      </w:tr>
      <w:tr w14:paraId="0AF04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39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收缩压</w:t>
            </w:r>
          </w:p>
        </w:tc>
        <w:tc>
          <w:tcPr>
            <w:tcW w:w="0" w:type="auto"/>
            <w:shd w:val="clear"/>
            <w:vAlign w:val="center"/>
          </w:tcPr>
          <w:p w14:paraId="5ECD9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−6.69 mmHg</w:t>
            </w:r>
          </w:p>
        </w:tc>
      </w:tr>
      <w:tr w14:paraId="3235C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56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舒张压</w:t>
            </w:r>
          </w:p>
        </w:tc>
        <w:tc>
          <w:tcPr>
            <w:tcW w:w="0" w:type="auto"/>
            <w:shd w:val="clear"/>
            <w:vAlign w:val="center"/>
          </w:tcPr>
          <w:p w14:paraId="03A81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−5.13 mmHg</w:t>
            </w:r>
          </w:p>
        </w:tc>
      </w:tr>
      <w:tr w14:paraId="69676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13F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甘油三酯</w:t>
            </w:r>
          </w:p>
        </w:tc>
        <w:tc>
          <w:tcPr>
            <w:tcW w:w="0" w:type="auto"/>
            <w:shd w:val="clear"/>
            <w:vAlign w:val="center"/>
          </w:tcPr>
          <w:p w14:paraId="2E07D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−24.8%</w:t>
            </w:r>
          </w:p>
        </w:tc>
      </w:tr>
      <w:tr w14:paraId="0C69A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20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尿酸</w:t>
            </w:r>
          </w:p>
        </w:tc>
        <w:tc>
          <w:tcPr>
            <w:tcW w:w="0" w:type="auto"/>
            <w:shd w:val="clear"/>
            <w:vAlign w:val="center"/>
          </w:tcPr>
          <w:p w14:paraId="08C4F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−62 μmol/L</w:t>
            </w:r>
          </w:p>
        </w:tc>
      </w:tr>
      <w:tr w14:paraId="69CAA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D1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空腹胰岛素</w:t>
            </w:r>
          </w:p>
        </w:tc>
        <w:tc>
          <w:tcPr>
            <w:tcW w:w="0" w:type="auto"/>
            <w:shd w:val="clear"/>
            <w:vAlign w:val="center"/>
          </w:tcPr>
          <w:p w14:paraId="3FB80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−6.89 U/mL</w:t>
            </w:r>
          </w:p>
        </w:tc>
      </w:tr>
      <w:tr w14:paraId="7DF6D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DB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HOMA-IR</w:t>
            </w:r>
          </w:p>
        </w:tc>
        <w:tc>
          <w:tcPr>
            <w:tcW w:w="0" w:type="auto"/>
            <w:shd w:val="clear"/>
            <w:vAlign w:val="center"/>
          </w:tcPr>
          <w:p w14:paraId="00FE2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−1.91</w:t>
            </w:r>
          </w:p>
        </w:tc>
      </w:tr>
      <w:tr w14:paraId="72A9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00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</w:t>
            </w:r>
          </w:p>
        </w:tc>
        <w:tc>
          <w:tcPr>
            <w:tcW w:w="0" w:type="auto"/>
            <w:shd w:val="clear"/>
            <w:vAlign w:val="center"/>
          </w:tcPr>
          <w:p w14:paraId="0B99C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−50.2%</w:t>
            </w:r>
          </w:p>
        </w:tc>
      </w:tr>
      <w:tr w14:paraId="7F39F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EB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肝脏脂肪含量</w:t>
            </w:r>
          </w:p>
        </w:tc>
        <w:tc>
          <w:tcPr>
            <w:tcW w:w="0" w:type="auto"/>
            <w:shd w:val="clear"/>
            <w:vAlign w:val="center"/>
          </w:tcPr>
          <w:p w14:paraId="776CA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−53.1%</w:t>
            </w:r>
          </w:p>
        </w:tc>
      </w:tr>
      <w:tr w14:paraId="0B523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F2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GI不良事件中位持续时间</w:t>
            </w:r>
          </w:p>
        </w:tc>
        <w:tc>
          <w:tcPr>
            <w:tcW w:w="0" w:type="auto"/>
            <w:shd w:val="clear"/>
            <w:vAlign w:val="center"/>
          </w:tcPr>
          <w:p w14:paraId="650B5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腹泻2天、恶心2天、呕吐1天</w:t>
            </w:r>
          </w:p>
        </w:tc>
      </w:tr>
      <w:tr w14:paraId="7E2E6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C6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因GI不良事件停药率</w:t>
            </w:r>
          </w:p>
        </w:tc>
        <w:tc>
          <w:tcPr>
            <w:tcW w:w="0" w:type="auto"/>
            <w:shd w:val="clear"/>
            <w:vAlign w:val="center"/>
          </w:tcPr>
          <w:p w14:paraId="7C44E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0.6%*</w:t>
            </w:r>
          </w:p>
        </w:tc>
      </w:tr>
      <w:tr w14:paraId="2C59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F6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体重曲线</w:t>
            </w:r>
          </w:p>
        </w:tc>
        <w:tc>
          <w:tcPr>
            <w:tcW w:w="0" w:type="auto"/>
            <w:shd w:val="clear"/>
            <w:vAlign w:val="center"/>
          </w:tcPr>
          <w:p w14:paraId="579ED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48周未见明确平台</w:t>
            </w:r>
          </w:p>
        </w:tc>
      </w:tr>
      <w:tr w14:paraId="35927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6F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停药观察</w:t>
            </w:r>
          </w:p>
        </w:tc>
        <w:tc>
          <w:tcPr>
            <w:tcW w:w="0" w:type="auto"/>
            <w:shd w:val="clear"/>
            <w:vAlign w:val="center"/>
          </w:tcPr>
          <w:p w14:paraId="1B9BA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停药后7周减重效果仍存在</w:t>
            </w:r>
          </w:p>
        </w:tc>
      </w:tr>
    </w:tbl>
    <w:p w14:paraId="1303AFE5">
      <w:pPr>
        <w:pStyle w:val="5"/>
        <w:keepNext w:val="0"/>
        <w:keepLines w:val="0"/>
        <w:widowControl/>
        <w:suppressLineNumbers w:val="0"/>
      </w:pPr>
      <w:r>
        <w:t>*0.6%来自埃诺格鲁肽1.8 mg剂量组，并非2.4 mg数据。</w:t>
      </w:r>
    </w:p>
    <w:p w14:paraId="6813C732">
      <w:pPr>
        <w:pStyle w:val="4"/>
        <w:keepNext w:val="0"/>
        <w:keepLines w:val="0"/>
        <w:widowControl/>
        <w:suppressLineNumbers w:val="0"/>
      </w:pPr>
      <w:r>
        <w:t>优势</w:t>
      </w:r>
    </w:p>
    <w:p w14:paraId="61AAD14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全中国人群Ⅲ期研究； </w:t>
      </w:r>
    </w:p>
    <w:p w14:paraId="737CCBA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样本量较大； </w:t>
      </w:r>
    </w:p>
    <w:p w14:paraId="2FB82F4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平均减重幅度和应答率较高； </w:t>
      </w:r>
    </w:p>
    <w:p w14:paraId="404D1FD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腰围、尿酸、肝脂等多项指标改善； </w:t>
      </w:r>
    </w:p>
    <w:p w14:paraId="191E6DD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常见胃肠道症状持续时间较短； </w:t>
      </w:r>
    </w:p>
    <w:p w14:paraId="6E83B1D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至48周体重曲线仍保持下降。 </w:t>
      </w:r>
    </w:p>
    <w:p w14:paraId="70ADCEDC">
      <w:pPr>
        <w:pStyle w:val="4"/>
        <w:keepNext w:val="0"/>
        <w:keepLines w:val="0"/>
        <w:widowControl/>
        <w:suppressLineNumbers w:val="0"/>
      </w:pPr>
      <w:r>
        <w:t>证据边界</w:t>
      </w:r>
    </w:p>
    <w:p w14:paraId="6FDC05B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停药后观察期仅7周； </w:t>
      </w:r>
    </w:p>
    <w:p w14:paraId="60AF439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不能据此推断长期停药后不会反弹； </w:t>
      </w:r>
    </w:p>
    <w:p w14:paraId="3549144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长期心血管结局及真实世界证据仍需积累。 </w:t>
      </w:r>
    </w:p>
    <w:p w14:paraId="25835CEA">
      <w:pPr>
        <w:pStyle w:val="5"/>
        <w:keepNext w:val="0"/>
        <w:keepLines w:val="0"/>
        <w:widowControl/>
        <w:suppressLineNumbers w:val="0"/>
      </w:pPr>
      <w:r>
        <w:t>**来源：**J第13—16、18页；H第1—3页；G第23—35页。</w:t>
      </w:r>
    </w:p>
    <w:p w14:paraId="2EAAC9E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F1D80">
      <w:pPr>
        <w:pStyle w:val="3"/>
        <w:keepNext w:val="0"/>
        <w:keepLines w:val="0"/>
        <w:widowControl/>
        <w:suppressLineNumbers w:val="0"/>
      </w:pPr>
      <w:r>
        <w:t>第25页｜司美格鲁肽及STEP 7研究简介</w:t>
      </w:r>
    </w:p>
    <w:p w14:paraId="6725BBA8">
      <w:pPr>
        <w:pStyle w:val="4"/>
        <w:keepNext w:val="0"/>
        <w:keepLines w:val="0"/>
        <w:widowControl/>
        <w:suppressLineNumbers w:val="0"/>
      </w:pPr>
      <w:r>
        <w:t>产品信息</w:t>
      </w:r>
    </w:p>
    <w:p w14:paraId="54D7969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通用名：司美格鲁肽； </w:t>
      </w:r>
    </w:p>
    <w:p w14:paraId="2797082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商品名：诺和盈®； </w:t>
      </w:r>
    </w:p>
    <w:p w14:paraId="6693865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类型：单靶点GLP-1RA； </w:t>
      </w:r>
    </w:p>
    <w:p w14:paraId="7C79A09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上传资料未明确注明企业名称。 </w:t>
      </w:r>
    </w:p>
    <w:p w14:paraId="281777D2">
      <w:pPr>
        <w:pStyle w:val="4"/>
        <w:keepNext w:val="0"/>
        <w:keepLines w:val="0"/>
        <w:widowControl/>
        <w:suppressLineNumbers w:val="0"/>
      </w:pPr>
      <w:r>
        <w:t>STEP 7研究设计</w:t>
      </w:r>
    </w:p>
    <w:p w14:paraId="225DF9A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多区域、随机、双盲、安慰剂对照Ⅲ期研究； </w:t>
      </w:r>
    </w:p>
    <w:p w14:paraId="1F6393B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总人群375例； </w:t>
      </w:r>
    </w:p>
    <w:p w14:paraId="1D2CE93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其中300例来自中国内地和中国香港； </w:t>
      </w:r>
    </w:p>
    <w:p w14:paraId="7941924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26%的患者合并T2DM； </w:t>
      </w:r>
    </w:p>
    <w:p w14:paraId="0373B17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中国预设人群按2∶1随机； </w:t>
      </w:r>
    </w:p>
    <w:p w14:paraId="597A71B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司美格鲁肽2.4 mg或安慰剂； </w:t>
      </w:r>
    </w:p>
    <w:p w14:paraId="3C3AE2E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每周一次； </w:t>
      </w:r>
    </w:p>
    <w:p w14:paraId="6AD9898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治疗44周； </w:t>
      </w:r>
    </w:p>
    <w:p w14:paraId="70AA62F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配合每日减少500 kcal及每周至少150分钟体力活动。 </w:t>
      </w:r>
    </w:p>
    <w:p w14:paraId="6AB872C7">
      <w:pPr>
        <w:pStyle w:val="4"/>
        <w:keepNext w:val="0"/>
        <w:keepLines w:val="0"/>
        <w:widowControl/>
        <w:suppressLineNumbers w:val="0"/>
      </w:pPr>
      <w:r>
        <w:t>主要评价</w:t>
      </w:r>
    </w:p>
    <w:p w14:paraId="0EA6E8A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体重较基线百分比变化； </w:t>
      </w:r>
    </w:p>
    <w:p w14:paraId="09353DB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减重≥5%的患者比例； </w:t>
      </w:r>
    </w:p>
    <w:p w14:paraId="149BC77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腰围和代谢指标； </w:t>
      </w:r>
    </w:p>
    <w:p w14:paraId="560490F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安全性及维持剂量完成情况。 </w:t>
      </w:r>
    </w:p>
    <w:p w14:paraId="0D5EBF0D">
      <w:pPr>
        <w:pStyle w:val="5"/>
        <w:keepNext w:val="0"/>
        <w:keepLines w:val="0"/>
        <w:widowControl/>
        <w:suppressLineNumbers w:val="0"/>
      </w:pPr>
      <w:r>
        <w:t>**来源：**G中STEP 7研究设计部分；E第12—13页。</w:t>
      </w:r>
    </w:p>
    <w:p w14:paraId="624CC7F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28B65">
      <w:pPr>
        <w:pStyle w:val="3"/>
        <w:keepNext w:val="0"/>
        <w:keepLines w:val="0"/>
        <w:widowControl/>
        <w:suppressLineNumbers w:val="0"/>
      </w:pPr>
      <w:r>
        <w:t>第26页｜STEP 7核心结果及优劣势</w:t>
      </w:r>
    </w:p>
    <w:p w14:paraId="03BA2CC7">
      <w:pPr>
        <w:pStyle w:val="5"/>
        <w:keepNext w:val="0"/>
        <w:keepLines w:val="0"/>
        <w:widowControl/>
        <w:suppressLineNumbers w:val="0"/>
      </w:pPr>
      <w:r>
        <w:t>上传资料对STEP 7使用了不同分析人群和统计口径。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776"/>
      </w:tblGrid>
      <w:tr w14:paraId="67851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5D8F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2994F5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上传资料数据</w:t>
            </w:r>
          </w:p>
        </w:tc>
      </w:tr>
      <w:tr w14:paraId="57CE9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BB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体重变化</w:t>
            </w:r>
          </w:p>
        </w:tc>
        <w:tc>
          <w:tcPr>
            <w:tcW w:w="0" w:type="auto"/>
            <w:shd w:val="clear"/>
            <w:vAlign w:val="center"/>
          </w:tcPr>
          <w:p w14:paraId="257E2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−11.8%、−12.1%或−12.8%</w:t>
            </w:r>
          </w:p>
        </w:tc>
      </w:tr>
      <w:tr w14:paraId="07756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48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安慰剂体重变化</w:t>
            </w:r>
          </w:p>
        </w:tc>
        <w:tc>
          <w:tcPr>
            <w:tcW w:w="0" w:type="auto"/>
            <w:shd w:val="clear"/>
            <w:vAlign w:val="center"/>
          </w:tcPr>
          <w:p w14:paraId="1023D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−3.0%或−3.6%</w:t>
            </w:r>
          </w:p>
        </w:tc>
      </w:tr>
      <w:tr w14:paraId="21AF4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C5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不合并糖尿病人群</w:t>
            </w:r>
          </w:p>
        </w:tc>
        <w:tc>
          <w:tcPr>
            <w:tcW w:w="0" w:type="auto"/>
            <w:shd w:val="clear"/>
            <w:vAlign w:val="center"/>
          </w:tcPr>
          <w:p w14:paraId="09CF4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−13.5%</w:t>
            </w:r>
          </w:p>
        </w:tc>
      </w:tr>
      <w:tr w14:paraId="2F1D8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DA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腰围变化</w:t>
            </w:r>
          </w:p>
        </w:tc>
        <w:tc>
          <w:tcPr>
            <w:tcW w:w="0" w:type="auto"/>
            <w:shd w:val="clear"/>
            <w:vAlign w:val="center"/>
          </w:tcPr>
          <w:p w14:paraId="4115E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−10.2至−11.4 cm</w:t>
            </w:r>
          </w:p>
        </w:tc>
      </w:tr>
      <w:tr w14:paraId="44EB4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C6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减重≥5%</w:t>
            </w:r>
          </w:p>
        </w:tc>
        <w:tc>
          <w:tcPr>
            <w:tcW w:w="0" w:type="auto"/>
            <w:shd w:val="clear"/>
            <w:vAlign w:val="center"/>
          </w:tcPr>
          <w:p w14:paraId="1A027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85.4%</w:t>
            </w:r>
          </w:p>
        </w:tc>
      </w:tr>
      <w:tr w14:paraId="3F6CC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4FB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治疗时间</w:t>
            </w:r>
          </w:p>
        </w:tc>
        <w:tc>
          <w:tcPr>
            <w:tcW w:w="0" w:type="auto"/>
            <w:shd w:val="clear"/>
            <w:vAlign w:val="center"/>
          </w:tcPr>
          <w:p w14:paraId="210DC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44周</w:t>
            </w:r>
          </w:p>
        </w:tc>
      </w:tr>
    </w:tbl>
    <w:p w14:paraId="6493FFB1">
      <w:pPr>
        <w:pStyle w:val="4"/>
        <w:keepNext w:val="0"/>
        <w:keepLines w:val="0"/>
        <w:widowControl/>
        <w:suppressLineNumbers w:val="0"/>
      </w:pPr>
      <w:r>
        <w:t>不同数字的来源解释</w:t>
      </w:r>
    </w:p>
    <w:p w14:paraId="7308C7C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−11.8%、−12.1%和−12.8%来自不同上传材料、分析人群或统计口径； </w:t>
      </w:r>
    </w:p>
    <w:p w14:paraId="7ADE244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不应选择其中一个数字替代其他口径； </w:t>
      </w:r>
    </w:p>
    <w:p w14:paraId="5450025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正式使用时应保留对应原研究和页脚说明。 </w:t>
      </w:r>
    </w:p>
    <w:p w14:paraId="02311D70">
      <w:pPr>
        <w:pStyle w:val="4"/>
        <w:keepNext w:val="0"/>
        <w:keepLines w:val="0"/>
        <w:widowControl/>
        <w:suppressLineNumbers w:val="0"/>
      </w:pPr>
      <w:r>
        <w:t>优势</w:t>
      </w:r>
    </w:p>
    <w:p w14:paraId="7A1FCA1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全球及中国使用和研究基础较成熟； </w:t>
      </w:r>
    </w:p>
    <w:p w14:paraId="13A388D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具有STEP 5两年减重维持证据； </w:t>
      </w:r>
    </w:p>
    <w:p w14:paraId="645A299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具有STEP 4持续治疗与停药反弹证据； </w:t>
      </w:r>
    </w:p>
    <w:p w14:paraId="5F79B2B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SELECT研究显示MACE风险下降20%； </w:t>
      </w:r>
    </w:p>
    <w:p w14:paraId="6BC4D8F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超过80%的患者可维持2.4 mg剂量。 </w:t>
      </w:r>
    </w:p>
    <w:p w14:paraId="51A36C43">
      <w:pPr>
        <w:pStyle w:val="4"/>
        <w:keepNext w:val="0"/>
        <w:keepLines w:val="0"/>
        <w:widowControl/>
        <w:suppressLineNumbers w:val="0"/>
      </w:pPr>
      <w:r>
        <w:t>关注点</w:t>
      </w:r>
    </w:p>
    <w:p w14:paraId="0444B92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胃肠道不良反应； </w:t>
      </w:r>
    </w:p>
    <w:p w14:paraId="51A1D42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停药后体重反弹； </w:t>
      </w:r>
    </w:p>
    <w:p w14:paraId="3073420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与其他产品的不同RCT数据不能直接排名。 </w:t>
      </w:r>
    </w:p>
    <w:p w14:paraId="4482639E">
      <w:pPr>
        <w:pStyle w:val="5"/>
        <w:keepNext w:val="0"/>
        <w:keepLines w:val="0"/>
        <w:widowControl/>
        <w:suppressLineNumbers w:val="0"/>
      </w:pPr>
      <w:r>
        <w:t>**来源：**E第12—14、30—34页；D中STEP 4、STEP 5及SELECT相关页；G中STEP 7结果章节；J第14页。</w:t>
      </w:r>
    </w:p>
    <w:p w14:paraId="113C905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58416">
      <w:pPr>
        <w:pStyle w:val="3"/>
        <w:keepNext w:val="0"/>
        <w:keepLines w:val="0"/>
        <w:widowControl/>
        <w:suppressLineNumbers w:val="0"/>
      </w:pPr>
      <w:r>
        <w:t>第27页｜玛仕度肽及GLORY-1研究简介</w:t>
      </w:r>
    </w:p>
    <w:p w14:paraId="083BA92B">
      <w:pPr>
        <w:pStyle w:val="4"/>
        <w:keepNext w:val="0"/>
        <w:keepLines w:val="0"/>
        <w:widowControl/>
        <w:suppressLineNumbers w:val="0"/>
      </w:pPr>
      <w:r>
        <w:t>产品信息</w:t>
      </w:r>
    </w:p>
    <w:p w14:paraId="0099C9F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通用名：玛仕度肽； </w:t>
      </w:r>
    </w:p>
    <w:p w14:paraId="6EB663D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商品名：信尔美®； </w:t>
      </w:r>
    </w:p>
    <w:p w14:paraId="7D8CF7B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类型：GLP-1/GCG双受体激动剂； </w:t>
      </w:r>
    </w:p>
    <w:p w14:paraId="4394441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上传资料未明确注明企业名称。 </w:t>
      </w:r>
    </w:p>
    <w:p w14:paraId="27A311AD">
      <w:pPr>
        <w:pStyle w:val="4"/>
        <w:keepNext w:val="0"/>
        <w:keepLines w:val="0"/>
        <w:widowControl/>
        <w:suppressLineNumbers w:val="0"/>
      </w:pPr>
      <w:r>
        <w:t>GLORY-1研究设计</w:t>
      </w:r>
    </w:p>
    <w:p w14:paraId="421EA33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中国23家医院； </w:t>
      </w:r>
    </w:p>
    <w:p w14:paraId="25E6F38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610例成人超重或肥胖患者； </w:t>
      </w:r>
    </w:p>
    <w:p w14:paraId="18BBF9B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多中心、随机、双盲、安慰剂对照Ⅲ期研究； </w:t>
      </w:r>
    </w:p>
    <w:p w14:paraId="2F1A72F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随机比例1∶1∶1； </w:t>
      </w:r>
    </w:p>
    <w:p w14:paraId="609C7FD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玛仕度肽4 mg、6 mg或安慰剂； </w:t>
      </w:r>
    </w:p>
    <w:p w14:paraId="47C31A1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每周一次； </w:t>
      </w:r>
    </w:p>
    <w:p w14:paraId="0C2F794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治疗48周。 </w:t>
      </w:r>
    </w:p>
    <w:p w14:paraId="1B306BB2">
      <w:pPr>
        <w:pStyle w:val="4"/>
        <w:keepNext w:val="0"/>
        <w:keepLines w:val="0"/>
        <w:widowControl/>
        <w:suppressLineNumbers w:val="0"/>
      </w:pPr>
      <w:r>
        <w:t>主要终点</w:t>
      </w:r>
    </w:p>
    <w:p w14:paraId="67CA8C2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体重较基线百分比变化； </w:t>
      </w:r>
    </w:p>
    <w:p w14:paraId="775B1FC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减重≥5%的患者比例。 </w:t>
      </w:r>
    </w:p>
    <w:p w14:paraId="5AF5A974">
      <w:pPr>
        <w:pStyle w:val="4"/>
        <w:keepNext w:val="0"/>
        <w:keepLines w:val="0"/>
        <w:widowControl/>
        <w:suppressLineNumbers w:val="0"/>
      </w:pPr>
      <w:r>
        <w:t>其他评价</w:t>
      </w:r>
    </w:p>
    <w:p w14:paraId="6E90914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减重≥10%、≥15%及≥20%； </w:t>
      </w:r>
    </w:p>
    <w:p w14:paraId="31DE547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BMI、腰围； </w:t>
      </w:r>
    </w:p>
    <w:p w14:paraId="46B246D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血压、血脂和血糖； </w:t>
      </w:r>
    </w:p>
    <w:p w14:paraId="2641171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脂肪肝评分； </w:t>
      </w:r>
    </w:p>
    <w:p w14:paraId="06F0AD5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生活质量及安全性。 </w:t>
      </w:r>
    </w:p>
    <w:p w14:paraId="5A14BA5C">
      <w:pPr>
        <w:pStyle w:val="4"/>
        <w:keepNext w:val="0"/>
        <w:keepLines w:val="0"/>
        <w:widowControl/>
        <w:suppressLineNumbers w:val="0"/>
      </w:pPr>
      <w:r>
        <w:t>机制特点</w:t>
      </w:r>
    </w:p>
    <w:p w14:paraId="73B6D53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GLP-1R激活减少食物摄入； </w:t>
      </w:r>
    </w:p>
    <w:p w14:paraId="3FF67E6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GCGR激活促进脂肪酸氧化和能量消耗。 </w:t>
      </w:r>
    </w:p>
    <w:p w14:paraId="2B1F5C1F">
      <w:pPr>
        <w:pStyle w:val="5"/>
        <w:keepNext w:val="0"/>
        <w:keepLines w:val="0"/>
        <w:widowControl/>
        <w:suppressLineNumbers w:val="0"/>
      </w:pPr>
      <w:r>
        <w:t>**来源：**G中GLORY-1研究设计部分；C第15—16页。</w:t>
      </w:r>
    </w:p>
    <w:p w14:paraId="7C2438A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849FD">
      <w:pPr>
        <w:pStyle w:val="3"/>
        <w:keepNext w:val="0"/>
        <w:keepLines w:val="0"/>
        <w:widowControl/>
        <w:suppressLineNumbers w:val="0"/>
      </w:pPr>
      <w:r>
        <w:t>第28页｜GLORY-1核心结果及优劣势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568"/>
        <w:gridCol w:w="1568"/>
        <w:gridCol w:w="798"/>
      </w:tblGrid>
      <w:tr w14:paraId="1D749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CD05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379FB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玛仕度肽4 mg</w:t>
            </w:r>
          </w:p>
        </w:tc>
        <w:tc>
          <w:tcPr>
            <w:tcW w:w="0" w:type="auto"/>
            <w:shd w:val="clear"/>
            <w:vAlign w:val="center"/>
          </w:tcPr>
          <w:p w14:paraId="57D87C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玛仕度肽6 mg</w:t>
            </w:r>
          </w:p>
        </w:tc>
        <w:tc>
          <w:tcPr>
            <w:tcW w:w="0" w:type="auto"/>
            <w:shd w:val="clear"/>
            <w:vAlign w:val="center"/>
          </w:tcPr>
          <w:p w14:paraId="4FBCD2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安慰剂</w:t>
            </w:r>
          </w:p>
        </w:tc>
      </w:tr>
      <w:tr w14:paraId="59440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40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治疗时间</w:t>
            </w:r>
          </w:p>
        </w:tc>
        <w:tc>
          <w:tcPr>
            <w:tcW w:w="0" w:type="auto"/>
            <w:shd w:val="clear"/>
            <w:vAlign w:val="center"/>
          </w:tcPr>
          <w:p w14:paraId="71F8A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</w:t>
            </w:r>
          </w:p>
        </w:tc>
        <w:tc>
          <w:tcPr>
            <w:tcW w:w="0" w:type="auto"/>
            <w:shd w:val="clear"/>
            <w:vAlign w:val="center"/>
          </w:tcPr>
          <w:p w14:paraId="4546F7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</w:t>
            </w:r>
          </w:p>
        </w:tc>
        <w:tc>
          <w:tcPr>
            <w:tcW w:w="0" w:type="auto"/>
            <w:shd w:val="clear"/>
            <w:vAlign w:val="center"/>
          </w:tcPr>
          <w:p w14:paraId="5657F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</w:t>
            </w:r>
          </w:p>
        </w:tc>
      </w:tr>
      <w:tr w14:paraId="0CDB2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23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体重变化</w:t>
            </w:r>
          </w:p>
        </w:tc>
        <w:tc>
          <w:tcPr>
            <w:tcW w:w="0" w:type="auto"/>
            <w:shd w:val="clear"/>
            <w:vAlign w:val="center"/>
          </w:tcPr>
          <w:p w14:paraId="7C6B7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−11.00%</w:t>
            </w:r>
          </w:p>
        </w:tc>
        <w:tc>
          <w:tcPr>
            <w:tcW w:w="0" w:type="auto"/>
            <w:shd w:val="clear"/>
            <w:vAlign w:val="center"/>
          </w:tcPr>
          <w:p w14:paraId="66684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−14.01%</w:t>
            </w:r>
          </w:p>
        </w:tc>
        <w:tc>
          <w:tcPr>
            <w:tcW w:w="0" w:type="auto"/>
            <w:shd w:val="clear"/>
            <w:vAlign w:val="center"/>
          </w:tcPr>
          <w:p w14:paraId="715AF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+0.30%</w:t>
            </w:r>
          </w:p>
        </w:tc>
      </w:tr>
      <w:tr w14:paraId="04F09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AE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与安慰剂治疗差异</w:t>
            </w:r>
          </w:p>
        </w:tc>
        <w:tc>
          <w:tcPr>
            <w:tcW w:w="0" w:type="auto"/>
            <w:shd w:val="clear"/>
            <w:vAlign w:val="center"/>
          </w:tcPr>
          <w:p w14:paraId="0F2D2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−11.30%</w:t>
            </w:r>
          </w:p>
        </w:tc>
        <w:tc>
          <w:tcPr>
            <w:tcW w:w="0" w:type="auto"/>
            <w:shd w:val="clear"/>
            <w:vAlign w:val="center"/>
          </w:tcPr>
          <w:p w14:paraId="45DF3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−14.31%</w:t>
            </w:r>
          </w:p>
        </w:tc>
        <w:tc>
          <w:tcPr>
            <w:tcW w:w="0" w:type="auto"/>
            <w:shd w:val="clear"/>
            <w:vAlign w:val="center"/>
          </w:tcPr>
          <w:p w14:paraId="6753E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229CD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2A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减重≥5%</w:t>
            </w:r>
          </w:p>
        </w:tc>
        <w:tc>
          <w:tcPr>
            <w:tcW w:w="0" w:type="auto"/>
            <w:shd w:val="clear"/>
            <w:vAlign w:val="center"/>
          </w:tcPr>
          <w:p w14:paraId="56DEA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75DF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81.6%</w:t>
            </w:r>
          </w:p>
        </w:tc>
        <w:tc>
          <w:tcPr>
            <w:tcW w:w="0" w:type="auto"/>
            <w:shd w:val="clear"/>
            <w:vAlign w:val="center"/>
          </w:tcPr>
          <w:p w14:paraId="3EEE7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0B5E4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4C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腰围变化</w:t>
            </w:r>
          </w:p>
        </w:tc>
        <w:tc>
          <w:tcPr>
            <w:tcW w:w="0" w:type="auto"/>
            <w:shd w:val="clear"/>
            <w:vAlign w:val="center"/>
          </w:tcPr>
          <w:p w14:paraId="3C2A9E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80D9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约−10.72 cm</w:t>
            </w:r>
          </w:p>
        </w:tc>
        <w:tc>
          <w:tcPr>
            <w:tcW w:w="0" w:type="auto"/>
            <w:shd w:val="clear"/>
            <w:vAlign w:val="center"/>
          </w:tcPr>
          <w:p w14:paraId="6A3BFB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719D4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3F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因GI不良事件停药率</w:t>
            </w:r>
          </w:p>
        </w:tc>
        <w:tc>
          <w:tcPr>
            <w:tcW w:w="0" w:type="auto"/>
            <w:shd w:val="clear"/>
            <w:vAlign w:val="center"/>
          </w:tcPr>
          <w:p w14:paraId="7E53A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1.0%*</w:t>
            </w:r>
          </w:p>
        </w:tc>
        <w:tc>
          <w:tcPr>
            <w:tcW w:w="0" w:type="auto"/>
            <w:shd w:val="clear"/>
            <w:vAlign w:val="center"/>
          </w:tcPr>
          <w:p w14:paraId="5792E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24E7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094BFB8C">
      <w:pPr>
        <w:pStyle w:val="5"/>
        <w:keepNext w:val="0"/>
        <w:keepLines w:val="0"/>
        <w:widowControl/>
        <w:suppressLineNumbers w:val="0"/>
      </w:pPr>
      <w:r>
        <w:t>*1.0%来自玛仕度肽4 mg，并非6 mg核心减重剂量数据。</w:t>
      </w:r>
    </w:p>
    <w:p w14:paraId="2D732689">
      <w:pPr>
        <w:pStyle w:val="4"/>
        <w:keepNext w:val="0"/>
        <w:keepLines w:val="0"/>
        <w:widowControl/>
        <w:suppressLineNumbers w:val="0"/>
      </w:pPr>
      <w:r>
        <w:t>优势</w:t>
      </w:r>
    </w:p>
    <w:p w14:paraId="21BCF47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全中国人群研究； </w:t>
      </w:r>
    </w:p>
    <w:p w14:paraId="57699F6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48周减重幅度明显； </w:t>
      </w:r>
    </w:p>
    <w:p w14:paraId="2B6B764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GLP-1/GCG双靶点； </w:t>
      </w:r>
    </w:p>
    <w:p w14:paraId="438D609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同时作用于减少摄入和增加能量消耗； </w:t>
      </w:r>
    </w:p>
    <w:p w14:paraId="38D8DA2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肝脂和多项代谢指标具有改善。 </w:t>
      </w:r>
    </w:p>
    <w:p w14:paraId="72F7288D">
      <w:pPr>
        <w:pStyle w:val="4"/>
        <w:keepNext w:val="0"/>
        <w:keepLines w:val="0"/>
        <w:widowControl/>
        <w:suppressLineNumbers w:val="0"/>
      </w:pPr>
      <w:r>
        <w:t>关注点</w:t>
      </w:r>
    </w:p>
    <w:p w14:paraId="2485DE1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GCG通路可能伴静息心率升高； </w:t>
      </w:r>
    </w:p>
    <w:p w14:paraId="0605399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上传说明书材料提示，如静息心率持续增加应停用； </w:t>
      </w:r>
    </w:p>
    <w:p w14:paraId="48CFCEF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双靶机制引入额外生理效应； </w:t>
      </w:r>
    </w:p>
    <w:p w14:paraId="7B30C97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与其他产品的数值属于非头对头比较。 </w:t>
      </w:r>
    </w:p>
    <w:p w14:paraId="5DF13215">
      <w:pPr>
        <w:pStyle w:val="5"/>
        <w:keepNext w:val="0"/>
        <w:keepLines w:val="0"/>
        <w:widowControl/>
        <w:suppressLineNumbers w:val="0"/>
      </w:pPr>
      <w:r>
        <w:t>**来源：**C第15—16页；G中GLORY-1结果及安全性部分；J第8、15页。</w:t>
      </w:r>
    </w:p>
    <w:p w14:paraId="74D027B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6C448">
      <w:pPr>
        <w:pStyle w:val="3"/>
        <w:keepNext w:val="0"/>
        <w:keepLines w:val="0"/>
        <w:widowControl/>
        <w:suppressLineNumbers w:val="0"/>
      </w:pPr>
      <w:r>
        <w:t>第29页｜替尔泊肽及SURMOUNT-CN研究简介</w:t>
      </w:r>
    </w:p>
    <w:p w14:paraId="25034B07">
      <w:pPr>
        <w:pStyle w:val="4"/>
        <w:keepNext w:val="0"/>
        <w:keepLines w:val="0"/>
        <w:widowControl/>
        <w:suppressLineNumbers w:val="0"/>
      </w:pPr>
      <w:r>
        <w:t>产品信息</w:t>
      </w:r>
    </w:p>
    <w:p w14:paraId="290D5AE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通用名：替尔泊肽； </w:t>
      </w:r>
    </w:p>
    <w:p w14:paraId="66DF139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商品名：穆峰达®； </w:t>
      </w:r>
    </w:p>
    <w:p w14:paraId="09035F3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类型：GIP/GLP-1双受体激动剂； </w:t>
      </w:r>
    </w:p>
    <w:p w14:paraId="08651E0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上传资料未明确注明企业名称。 </w:t>
      </w:r>
    </w:p>
    <w:p w14:paraId="4F3E99B9">
      <w:pPr>
        <w:pStyle w:val="4"/>
        <w:keepNext w:val="0"/>
        <w:keepLines w:val="0"/>
        <w:widowControl/>
        <w:suppressLineNumbers w:val="0"/>
      </w:pPr>
      <w:r>
        <w:t>SURMOUNT-CN研究设计</w:t>
      </w:r>
    </w:p>
    <w:p w14:paraId="2C5F04B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中国29个中心； </w:t>
      </w:r>
    </w:p>
    <w:p w14:paraId="2929358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210例成人超重或肥胖患者； </w:t>
      </w:r>
    </w:p>
    <w:p w14:paraId="2DF8D44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多中心、随机、双盲、安慰剂对照Ⅲ期研究； </w:t>
      </w:r>
    </w:p>
    <w:p w14:paraId="688E5EA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随机比例1∶1∶1； </w:t>
      </w:r>
    </w:p>
    <w:p w14:paraId="524F6FA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替尔泊肽10 mg、15 mg或安慰剂； </w:t>
      </w:r>
    </w:p>
    <w:p w14:paraId="3DDFB30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每周一次； </w:t>
      </w:r>
    </w:p>
    <w:p w14:paraId="732D722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治疗52周； </w:t>
      </w:r>
    </w:p>
    <w:p w14:paraId="7AD322B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配合每日减少500 kcal及每周至少150分钟运动。 </w:t>
      </w:r>
    </w:p>
    <w:p w14:paraId="1632FDDA">
      <w:pPr>
        <w:pStyle w:val="4"/>
        <w:keepNext w:val="0"/>
        <w:keepLines w:val="0"/>
        <w:widowControl/>
        <w:suppressLineNumbers w:val="0"/>
      </w:pPr>
      <w:r>
        <w:t>主要终点</w:t>
      </w:r>
    </w:p>
    <w:p w14:paraId="336B0C9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第52周体重较基线百分比变化； </w:t>
      </w:r>
    </w:p>
    <w:p w14:paraId="1CC681A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减重≥5%的患者比例。 </w:t>
      </w:r>
    </w:p>
    <w:p w14:paraId="321A407D">
      <w:pPr>
        <w:pStyle w:val="4"/>
        <w:keepNext w:val="0"/>
        <w:keepLines w:val="0"/>
        <w:widowControl/>
        <w:suppressLineNumbers w:val="0"/>
      </w:pPr>
      <w:r>
        <w:t>专业备注</w:t>
      </w:r>
    </w:p>
    <w:p w14:paraId="3964C07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上传资料明确提示：替尔泊肽15 mg为研究剂量，在相关中国资料制作时间点尚未在中国获批用于减重。中国获批最大剂量口径为10 mg。</w:t>
      </w:r>
    </w:p>
    <w:p w14:paraId="70194F35">
      <w:pPr>
        <w:pStyle w:val="5"/>
        <w:keepNext w:val="0"/>
        <w:keepLines w:val="0"/>
        <w:widowControl/>
        <w:suppressLineNumbers w:val="0"/>
      </w:pPr>
      <w:r>
        <w:t>**来源：**G中SURMOUNT-CN研究设计部分；A第34页。</w:t>
      </w:r>
    </w:p>
    <w:p w14:paraId="77CDCFE1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615FD">
      <w:pPr>
        <w:pStyle w:val="3"/>
        <w:keepNext w:val="0"/>
        <w:keepLines w:val="0"/>
        <w:widowControl/>
        <w:suppressLineNumbers w:val="0"/>
      </w:pPr>
      <w:r>
        <w:t>第30页｜SURMOUNT-CN核心结果及优劣势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688"/>
        <w:gridCol w:w="1688"/>
        <w:gridCol w:w="798"/>
      </w:tblGrid>
      <w:tr w14:paraId="59AC5B13">
        <w:tblPrEx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D8EC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0A5F5B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替尔泊肽10 mg</w:t>
            </w:r>
          </w:p>
        </w:tc>
        <w:tc>
          <w:tcPr>
            <w:tcW w:w="0" w:type="auto"/>
            <w:shd w:val="clear"/>
            <w:vAlign w:val="center"/>
          </w:tcPr>
          <w:p w14:paraId="073DF6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替尔泊肽15 mg</w:t>
            </w:r>
          </w:p>
        </w:tc>
        <w:tc>
          <w:tcPr>
            <w:tcW w:w="0" w:type="auto"/>
            <w:shd w:val="clear"/>
            <w:vAlign w:val="center"/>
          </w:tcPr>
          <w:p w14:paraId="48B20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安慰剂</w:t>
            </w:r>
          </w:p>
        </w:tc>
      </w:tr>
      <w:tr w14:paraId="4483F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D7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治疗时间</w:t>
            </w:r>
          </w:p>
        </w:tc>
        <w:tc>
          <w:tcPr>
            <w:tcW w:w="0" w:type="auto"/>
            <w:shd w:val="clear"/>
            <w:vAlign w:val="center"/>
          </w:tcPr>
          <w:p w14:paraId="467EA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52周</w:t>
            </w:r>
          </w:p>
        </w:tc>
        <w:tc>
          <w:tcPr>
            <w:tcW w:w="0" w:type="auto"/>
            <w:shd w:val="clear"/>
            <w:vAlign w:val="center"/>
          </w:tcPr>
          <w:p w14:paraId="12D5D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52周</w:t>
            </w:r>
          </w:p>
        </w:tc>
        <w:tc>
          <w:tcPr>
            <w:tcW w:w="0" w:type="auto"/>
            <w:shd w:val="clear"/>
            <w:vAlign w:val="center"/>
          </w:tcPr>
          <w:p w14:paraId="74285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52周</w:t>
            </w:r>
          </w:p>
        </w:tc>
      </w:tr>
      <w:tr w14:paraId="1A3AE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9C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体重变化</w:t>
            </w:r>
          </w:p>
        </w:tc>
        <w:tc>
          <w:tcPr>
            <w:tcW w:w="0" w:type="auto"/>
            <w:shd w:val="clear"/>
            <w:vAlign w:val="center"/>
          </w:tcPr>
          <w:p w14:paraId="794C1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−13.6%</w:t>
            </w:r>
          </w:p>
        </w:tc>
        <w:tc>
          <w:tcPr>
            <w:tcW w:w="0" w:type="auto"/>
            <w:shd w:val="clear"/>
            <w:vAlign w:val="center"/>
          </w:tcPr>
          <w:p w14:paraId="20E26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−17.5%</w:t>
            </w:r>
          </w:p>
        </w:tc>
        <w:tc>
          <w:tcPr>
            <w:tcW w:w="0" w:type="auto"/>
            <w:shd w:val="clear"/>
            <w:vAlign w:val="center"/>
          </w:tcPr>
          <w:p w14:paraId="6ED39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−2.3%</w:t>
            </w:r>
          </w:p>
        </w:tc>
      </w:tr>
      <w:tr w14:paraId="023C6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FF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减重≥5%</w:t>
            </w:r>
          </w:p>
        </w:tc>
        <w:tc>
          <w:tcPr>
            <w:tcW w:w="0" w:type="auto"/>
            <w:shd w:val="clear"/>
            <w:vAlign w:val="center"/>
          </w:tcPr>
          <w:p w14:paraId="6DEC28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87.7%*</w:t>
            </w:r>
          </w:p>
        </w:tc>
        <w:tc>
          <w:tcPr>
            <w:tcW w:w="0" w:type="auto"/>
            <w:shd w:val="clear"/>
            <w:vAlign w:val="center"/>
          </w:tcPr>
          <w:p w14:paraId="346A0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DF6F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BEAB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063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腰围变化</w:t>
            </w:r>
          </w:p>
        </w:tc>
        <w:tc>
          <w:tcPr>
            <w:tcW w:w="0" w:type="auto"/>
            <w:shd w:val="clear"/>
            <w:vAlign w:val="center"/>
          </w:tcPr>
          <w:p w14:paraId="6A834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约−11.4 cm*</w:t>
            </w:r>
          </w:p>
        </w:tc>
        <w:tc>
          <w:tcPr>
            <w:tcW w:w="0" w:type="auto"/>
            <w:shd w:val="clear"/>
            <w:vAlign w:val="center"/>
          </w:tcPr>
          <w:p w14:paraId="3EAC4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F873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1183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B7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因GI不良事件停药率</w:t>
            </w:r>
          </w:p>
        </w:tc>
        <w:tc>
          <w:tcPr>
            <w:tcW w:w="0" w:type="auto"/>
            <w:shd w:val="clear"/>
            <w:vAlign w:val="center"/>
          </w:tcPr>
          <w:p w14:paraId="3A2BF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2.9%～3.3%**</w:t>
            </w:r>
          </w:p>
        </w:tc>
        <w:tc>
          <w:tcPr>
            <w:tcW w:w="0" w:type="auto"/>
            <w:shd w:val="clear"/>
            <w:vAlign w:val="center"/>
          </w:tcPr>
          <w:p w14:paraId="0E747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96BB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4051064F">
      <w:pPr>
        <w:pStyle w:val="5"/>
        <w:keepNext w:val="0"/>
        <w:keepLines w:val="0"/>
        <w:widowControl/>
        <w:suppressLineNumbers w:val="0"/>
      </w:pPr>
      <w:r>
        <w:t>*来自上传材料中10 mg跨研究展示数据。</w:t>
      </w:r>
      <w:r>
        <w:br w:type="textWrapping"/>
      </w:r>
      <w:r>
        <w:t>**不同上传资料分别列示2.9%和3.3%，可能来自不同统计口径或资料版本，应保留来源，不强行统一。</w:t>
      </w:r>
    </w:p>
    <w:p w14:paraId="5550155C">
      <w:pPr>
        <w:pStyle w:val="4"/>
        <w:keepNext w:val="0"/>
        <w:keepLines w:val="0"/>
        <w:widowControl/>
        <w:suppressLineNumbers w:val="0"/>
      </w:pPr>
      <w:r>
        <w:t>优势</w:t>
      </w:r>
    </w:p>
    <w:p w14:paraId="433CED0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GIP/GLP-1双靶协同； </w:t>
      </w:r>
    </w:p>
    <w:p w14:paraId="5902A01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减重和降糖幅度较高； </w:t>
      </w:r>
    </w:p>
    <w:p w14:paraId="0D0DA43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具有OSA相关研究证据； </w:t>
      </w:r>
    </w:p>
    <w:p w14:paraId="40FCF1F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长期研究显示糖尿病前期患者进展为T2DM风险下降。 </w:t>
      </w:r>
    </w:p>
    <w:p w14:paraId="24F104B4">
      <w:pPr>
        <w:pStyle w:val="4"/>
        <w:keepNext w:val="0"/>
        <w:keepLines w:val="0"/>
        <w:widowControl/>
        <w:suppressLineNumbers w:val="0"/>
      </w:pPr>
      <w:r>
        <w:t>关注点</w:t>
      </w:r>
    </w:p>
    <w:p w14:paraId="6C89224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15 mg未在相关中国资料中获批用于减重； </w:t>
      </w:r>
    </w:p>
    <w:p w14:paraId="797BEA5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胃肠道不良反应及停药； </w:t>
      </w:r>
    </w:p>
    <w:p w14:paraId="5F50AD6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上传材料引用脱发相关报告； </w:t>
      </w:r>
    </w:p>
    <w:p w14:paraId="38A11B4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探索性分析显示可能出现体重平台期； </w:t>
      </w:r>
    </w:p>
    <w:p w14:paraId="684360A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SURMOUNT-4显示停药后明显体重反弹。 </w:t>
      </w:r>
    </w:p>
    <w:p w14:paraId="43618699">
      <w:pPr>
        <w:pStyle w:val="5"/>
        <w:keepNext w:val="0"/>
        <w:keepLines w:val="0"/>
        <w:widowControl/>
        <w:suppressLineNumbers w:val="0"/>
      </w:pPr>
      <w:r>
        <w:t>**来源：**G中SURMOUNT-CN结果章节；J第8页及平台期说明；E第28—33页。</w:t>
      </w:r>
    </w:p>
    <w:p w14:paraId="083886A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A2D38">
      <w:pPr>
        <w:pStyle w:val="3"/>
        <w:keepNext w:val="0"/>
        <w:keepLines w:val="0"/>
        <w:widowControl/>
        <w:suppressLineNumbers w:val="0"/>
      </w:pPr>
      <w:r>
        <w:t>第31页｜四项中国研究综合对比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4"/>
        <w:gridCol w:w="2233"/>
        <w:gridCol w:w="1534"/>
        <w:gridCol w:w="1788"/>
        <w:gridCol w:w="2087"/>
      </w:tblGrid>
      <w:tr w14:paraId="3DBE3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86C7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研究指标</w:t>
            </w:r>
          </w:p>
        </w:tc>
        <w:tc>
          <w:tcPr>
            <w:tcW w:w="0" w:type="auto"/>
            <w:shd w:val="clear"/>
            <w:vAlign w:val="center"/>
          </w:tcPr>
          <w:p w14:paraId="4EB4FC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SLIMMER：埃诺格鲁肽</w:t>
            </w:r>
          </w:p>
        </w:tc>
        <w:tc>
          <w:tcPr>
            <w:tcW w:w="0" w:type="auto"/>
            <w:shd w:val="clear"/>
            <w:vAlign w:val="center"/>
          </w:tcPr>
          <w:p w14:paraId="6B5ADF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STEP 7：司美格鲁肽</w:t>
            </w:r>
          </w:p>
        </w:tc>
        <w:tc>
          <w:tcPr>
            <w:tcW w:w="0" w:type="auto"/>
            <w:shd w:val="clear"/>
            <w:vAlign w:val="center"/>
          </w:tcPr>
          <w:p w14:paraId="2FF4B5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GLORY-1：玛仕度肽</w:t>
            </w:r>
          </w:p>
        </w:tc>
        <w:tc>
          <w:tcPr>
            <w:tcW w:w="0" w:type="auto"/>
            <w:shd w:val="clear"/>
            <w:vAlign w:val="center"/>
          </w:tcPr>
          <w:p w14:paraId="19C1C1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SURMOUNT-CN：替尔泊肽</w:t>
            </w:r>
          </w:p>
        </w:tc>
      </w:tr>
      <w:tr w14:paraId="55616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E90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核心剂量</w:t>
            </w:r>
          </w:p>
        </w:tc>
        <w:tc>
          <w:tcPr>
            <w:tcW w:w="0" w:type="auto"/>
            <w:shd w:val="clear"/>
            <w:vAlign w:val="center"/>
          </w:tcPr>
          <w:p w14:paraId="7FFFE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 mg</w:t>
            </w:r>
          </w:p>
        </w:tc>
        <w:tc>
          <w:tcPr>
            <w:tcW w:w="0" w:type="auto"/>
            <w:shd w:val="clear"/>
            <w:vAlign w:val="center"/>
          </w:tcPr>
          <w:p w14:paraId="532A4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 mg</w:t>
            </w:r>
          </w:p>
        </w:tc>
        <w:tc>
          <w:tcPr>
            <w:tcW w:w="0" w:type="auto"/>
            <w:shd w:val="clear"/>
            <w:vAlign w:val="center"/>
          </w:tcPr>
          <w:p w14:paraId="646D4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mg</w:t>
            </w:r>
          </w:p>
        </w:tc>
        <w:tc>
          <w:tcPr>
            <w:tcW w:w="0" w:type="auto"/>
            <w:shd w:val="clear"/>
            <w:vAlign w:val="center"/>
          </w:tcPr>
          <w:p w14:paraId="4169E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 mg</w:t>
            </w:r>
          </w:p>
        </w:tc>
      </w:tr>
      <w:tr w14:paraId="650CE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0E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研究人群</w:t>
            </w:r>
          </w:p>
        </w:tc>
        <w:tc>
          <w:tcPr>
            <w:tcW w:w="0" w:type="auto"/>
            <w:shd w:val="clear"/>
            <w:vAlign w:val="center"/>
          </w:tcPr>
          <w:p w14:paraId="36F37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</w:t>
            </w:r>
          </w:p>
        </w:tc>
        <w:tc>
          <w:tcPr>
            <w:tcW w:w="0" w:type="auto"/>
            <w:shd w:val="clear"/>
            <w:vAlign w:val="center"/>
          </w:tcPr>
          <w:p w14:paraId="70B59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375例总体，300例中国</w:t>
            </w:r>
          </w:p>
        </w:tc>
        <w:tc>
          <w:tcPr>
            <w:tcW w:w="0" w:type="auto"/>
            <w:shd w:val="clear"/>
            <w:vAlign w:val="center"/>
          </w:tcPr>
          <w:p w14:paraId="45F2E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</w:t>
            </w:r>
          </w:p>
        </w:tc>
        <w:tc>
          <w:tcPr>
            <w:tcW w:w="0" w:type="auto"/>
            <w:shd w:val="clear"/>
            <w:vAlign w:val="center"/>
          </w:tcPr>
          <w:p w14:paraId="5ED48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</w:t>
            </w:r>
          </w:p>
        </w:tc>
      </w:tr>
      <w:tr w14:paraId="71267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614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样本量</w:t>
            </w:r>
          </w:p>
        </w:tc>
        <w:tc>
          <w:tcPr>
            <w:tcW w:w="0" w:type="auto"/>
            <w:shd w:val="clear"/>
            <w:vAlign w:val="center"/>
          </w:tcPr>
          <w:p w14:paraId="7AF67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664</w:t>
            </w:r>
          </w:p>
        </w:tc>
        <w:tc>
          <w:tcPr>
            <w:tcW w:w="0" w:type="auto"/>
            <w:shd w:val="clear"/>
            <w:vAlign w:val="center"/>
          </w:tcPr>
          <w:p w14:paraId="7E28E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375/中国300</w:t>
            </w:r>
          </w:p>
        </w:tc>
        <w:tc>
          <w:tcPr>
            <w:tcW w:w="0" w:type="auto"/>
            <w:shd w:val="clear"/>
            <w:vAlign w:val="center"/>
          </w:tcPr>
          <w:p w14:paraId="133DB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610</w:t>
            </w:r>
          </w:p>
        </w:tc>
        <w:tc>
          <w:tcPr>
            <w:tcW w:w="0" w:type="auto"/>
            <w:shd w:val="clear"/>
            <w:vAlign w:val="center"/>
          </w:tcPr>
          <w:p w14:paraId="39BD5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210</w:t>
            </w:r>
          </w:p>
        </w:tc>
      </w:tr>
      <w:tr w14:paraId="791E6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9C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治疗时间</w:t>
            </w:r>
          </w:p>
        </w:tc>
        <w:tc>
          <w:tcPr>
            <w:tcW w:w="0" w:type="auto"/>
            <w:shd w:val="clear"/>
            <w:vAlign w:val="center"/>
          </w:tcPr>
          <w:p w14:paraId="2FD3F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</w:t>
            </w:r>
          </w:p>
        </w:tc>
        <w:tc>
          <w:tcPr>
            <w:tcW w:w="0" w:type="auto"/>
            <w:shd w:val="clear"/>
            <w:vAlign w:val="center"/>
          </w:tcPr>
          <w:p w14:paraId="6B241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44周</w:t>
            </w:r>
          </w:p>
        </w:tc>
        <w:tc>
          <w:tcPr>
            <w:tcW w:w="0" w:type="auto"/>
            <w:shd w:val="clear"/>
            <w:vAlign w:val="center"/>
          </w:tcPr>
          <w:p w14:paraId="39DBF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</w:t>
            </w:r>
          </w:p>
        </w:tc>
        <w:tc>
          <w:tcPr>
            <w:tcW w:w="0" w:type="auto"/>
            <w:shd w:val="clear"/>
            <w:vAlign w:val="center"/>
          </w:tcPr>
          <w:p w14:paraId="40117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52周</w:t>
            </w:r>
          </w:p>
        </w:tc>
      </w:tr>
      <w:tr w14:paraId="091B2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92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基线体重</w:t>
            </w:r>
          </w:p>
        </w:tc>
        <w:tc>
          <w:tcPr>
            <w:tcW w:w="0" w:type="auto"/>
            <w:shd w:val="clear"/>
            <w:vAlign w:val="center"/>
          </w:tcPr>
          <w:p w14:paraId="1415E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90.6 kg</w:t>
            </w:r>
          </w:p>
        </w:tc>
        <w:tc>
          <w:tcPr>
            <w:tcW w:w="0" w:type="auto"/>
            <w:shd w:val="clear"/>
            <w:vAlign w:val="center"/>
          </w:tcPr>
          <w:p w14:paraId="35E0B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97.0 kg</w:t>
            </w:r>
          </w:p>
        </w:tc>
        <w:tc>
          <w:tcPr>
            <w:tcW w:w="0" w:type="auto"/>
            <w:shd w:val="clear"/>
            <w:vAlign w:val="center"/>
          </w:tcPr>
          <w:p w14:paraId="28978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87.2 kg</w:t>
            </w:r>
          </w:p>
        </w:tc>
        <w:tc>
          <w:tcPr>
            <w:tcW w:w="0" w:type="auto"/>
            <w:shd w:val="clear"/>
            <w:vAlign w:val="center"/>
          </w:tcPr>
          <w:p w14:paraId="738D8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92.2 kg</w:t>
            </w:r>
          </w:p>
        </w:tc>
      </w:tr>
      <w:tr w14:paraId="61F38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51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体重变化</w:t>
            </w:r>
          </w:p>
        </w:tc>
        <w:tc>
          <w:tcPr>
            <w:tcW w:w="0" w:type="auto"/>
            <w:shd w:val="clear"/>
            <w:vAlign w:val="center"/>
          </w:tcPr>
          <w:p w14:paraId="3CA1A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−15.4%</w:t>
            </w:r>
          </w:p>
        </w:tc>
        <w:tc>
          <w:tcPr>
            <w:tcW w:w="0" w:type="auto"/>
            <w:shd w:val="clear"/>
            <w:vAlign w:val="center"/>
          </w:tcPr>
          <w:p w14:paraId="4B523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−11.8%至−12.8%</w:t>
            </w:r>
          </w:p>
        </w:tc>
        <w:tc>
          <w:tcPr>
            <w:tcW w:w="0" w:type="auto"/>
            <w:shd w:val="clear"/>
            <w:vAlign w:val="center"/>
          </w:tcPr>
          <w:p w14:paraId="0363F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−14.01%</w:t>
            </w:r>
          </w:p>
        </w:tc>
        <w:tc>
          <w:tcPr>
            <w:tcW w:w="0" w:type="auto"/>
            <w:shd w:val="clear"/>
            <w:vAlign w:val="center"/>
          </w:tcPr>
          <w:p w14:paraId="0BFC2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−13.6%</w:t>
            </w:r>
          </w:p>
        </w:tc>
      </w:tr>
      <w:tr w14:paraId="26BF8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C0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减重≥5%</w:t>
            </w:r>
          </w:p>
        </w:tc>
        <w:tc>
          <w:tcPr>
            <w:tcW w:w="0" w:type="auto"/>
            <w:shd w:val="clear"/>
            <w:vAlign w:val="center"/>
          </w:tcPr>
          <w:p w14:paraId="4D820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93%</w:t>
            </w:r>
          </w:p>
        </w:tc>
        <w:tc>
          <w:tcPr>
            <w:tcW w:w="0" w:type="auto"/>
            <w:shd w:val="clear"/>
            <w:vAlign w:val="center"/>
          </w:tcPr>
          <w:p w14:paraId="22882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85.4%</w:t>
            </w:r>
          </w:p>
        </w:tc>
        <w:tc>
          <w:tcPr>
            <w:tcW w:w="0" w:type="auto"/>
            <w:shd w:val="clear"/>
            <w:vAlign w:val="center"/>
          </w:tcPr>
          <w:p w14:paraId="5E4FB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81.6%</w:t>
            </w:r>
          </w:p>
        </w:tc>
        <w:tc>
          <w:tcPr>
            <w:tcW w:w="0" w:type="auto"/>
            <w:shd w:val="clear"/>
            <w:vAlign w:val="center"/>
          </w:tcPr>
          <w:p w14:paraId="311D9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87.7%</w:t>
            </w:r>
          </w:p>
        </w:tc>
      </w:tr>
      <w:tr w14:paraId="2B884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90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腰围变化</w:t>
            </w:r>
          </w:p>
        </w:tc>
        <w:tc>
          <w:tcPr>
            <w:tcW w:w="0" w:type="auto"/>
            <w:shd w:val="clear"/>
            <w:vAlign w:val="center"/>
          </w:tcPr>
          <w:p w14:paraId="6B614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−12.8 cm</w:t>
            </w:r>
          </w:p>
        </w:tc>
        <w:tc>
          <w:tcPr>
            <w:tcW w:w="0" w:type="auto"/>
            <w:shd w:val="clear"/>
            <w:vAlign w:val="center"/>
          </w:tcPr>
          <w:p w14:paraId="20A02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−10.2至−11.4 cm</w:t>
            </w:r>
          </w:p>
        </w:tc>
        <w:tc>
          <w:tcPr>
            <w:tcW w:w="0" w:type="auto"/>
            <w:shd w:val="clear"/>
            <w:vAlign w:val="center"/>
          </w:tcPr>
          <w:p w14:paraId="41101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−10.72 cm</w:t>
            </w:r>
          </w:p>
        </w:tc>
        <w:tc>
          <w:tcPr>
            <w:tcW w:w="0" w:type="auto"/>
            <w:shd w:val="clear"/>
            <w:vAlign w:val="center"/>
          </w:tcPr>
          <w:p w14:paraId="320DC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−11.4 cm</w:t>
            </w:r>
          </w:p>
        </w:tc>
      </w:tr>
      <w:tr w14:paraId="3FCBE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D13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主要机制</w:t>
            </w:r>
          </w:p>
        </w:tc>
        <w:tc>
          <w:tcPr>
            <w:tcW w:w="0" w:type="auto"/>
            <w:shd w:val="clear"/>
            <w:vAlign w:val="center"/>
          </w:tcPr>
          <w:p w14:paraId="07252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cAMP偏向GLP-1R</w:t>
            </w:r>
          </w:p>
        </w:tc>
        <w:tc>
          <w:tcPr>
            <w:tcW w:w="0" w:type="auto"/>
            <w:shd w:val="clear"/>
            <w:vAlign w:val="center"/>
          </w:tcPr>
          <w:p w14:paraId="7B6FF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GLP-1R</w:t>
            </w:r>
          </w:p>
        </w:tc>
        <w:tc>
          <w:tcPr>
            <w:tcW w:w="0" w:type="auto"/>
            <w:shd w:val="clear"/>
            <w:vAlign w:val="center"/>
          </w:tcPr>
          <w:p w14:paraId="235CA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GLP-1/GCG</w:t>
            </w:r>
          </w:p>
        </w:tc>
        <w:tc>
          <w:tcPr>
            <w:tcW w:w="0" w:type="auto"/>
            <w:shd w:val="clear"/>
            <w:vAlign w:val="center"/>
          </w:tcPr>
          <w:p w14:paraId="76D88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GIP/GLP-1</w:t>
            </w:r>
          </w:p>
        </w:tc>
      </w:tr>
      <w:tr w14:paraId="3EB18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95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突出证据</w:t>
            </w:r>
          </w:p>
        </w:tc>
        <w:tc>
          <w:tcPr>
            <w:tcW w:w="0" w:type="auto"/>
            <w:shd w:val="clear"/>
            <w:vAlign w:val="center"/>
          </w:tcPr>
          <w:p w14:paraId="099D4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高应答、持续下降、短GI持续时间</w:t>
            </w:r>
          </w:p>
        </w:tc>
        <w:tc>
          <w:tcPr>
            <w:tcW w:w="0" w:type="auto"/>
            <w:shd w:val="clear"/>
            <w:vAlign w:val="center"/>
          </w:tcPr>
          <w:p w14:paraId="7F1BB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长期维持及心血管结局</w:t>
            </w:r>
          </w:p>
        </w:tc>
        <w:tc>
          <w:tcPr>
            <w:tcW w:w="0" w:type="auto"/>
            <w:shd w:val="clear"/>
            <w:vAlign w:val="center"/>
          </w:tcPr>
          <w:p w14:paraId="6AF8A1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肝脂及增加能量消耗机制</w:t>
            </w:r>
          </w:p>
        </w:tc>
        <w:tc>
          <w:tcPr>
            <w:tcW w:w="0" w:type="auto"/>
            <w:shd w:val="clear"/>
            <w:vAlign w:val="center"/>
          </w:tcPr>
          <w:p w14:paraId="0239C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双靶、减重及OSA证据</w:t>
            </w:r>
          </w:p>
        </w:tc>
      </w:tr>
      <w:tr w14:paraId="5736D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18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主要关注</w:t>
            </w:r>
          </w:p>
        </w:tc>
        <w:tc>
          <w:tcPr>
            <w:tcW w:w="0" w:type="auto"/>
            <w:shd w:val="clear"/>
            <w:vAlign w:val="center"/>
          </w:tcPr>
          <w:p w14:paraId="1893A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长期CVOT及RWE待积累</w:t>
            </w:r>
          </w:p>
        </w:tc>
        <w:tc>
          <w:tcPr>
            <w:tcW w:w="0" w:type="auto"/>
            <w:shd w:val="clear"/>
            <w:vAlign w:val="center"/>
          </w:tcPr>
          <w:p w14:paraId="4B233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GI反应及停药反弹</w:t>
            </w:r>
          </w:p>
        </w:tc>
        <w:tc>
          <w:tcPr>
            <w:tcW w:w="0" w:type="auto"/>
            <w:shd w:val="clear"/>
            <w:vAlign w:val="center"/>
          </w:tcPr>
          <w:p w14:paraId="21EC9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心率及额外GCG效应</w:t>
            </w:r>
          </w:p>
        </w:tc>
        <w:tc>
          <w:tcPr>
            <w:tcW w:w="0" w:type="auto"/>
            <w:shd w:val="clear"/>
            <w:vAlign w:val="center"/>
          </w:tcPr>
          <w:p w14:paraId="70045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GI、脱发、平台期及反弹</w:t>
            </w:r>
          </w:p>
        </w:tc>
      </w:tr>
    </w:tbl>
    <w:p w14:paraId="26D0104A">
      <w:pPr>
        <w:pStyle w:val="4"/>
        <w:keepNext w:val="0"/>
        <w:keepLines w:val="0"/>
        <w:widowControl/>
        <w:suppressLineNumbers w:val="0"/>
      </w:pPr>
      <w:r>
        <w:t>必须保留的专业备注</w:t>
      </w:r>
    </w:p>
    <w:p w14:paraId="269CC92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上述数据来自四项不同随机对照研究。患者基线、纳入标准、治疗时间、剂量、估计目标、缺失值处理及统计方法均不完全相同，属于非头对头比较，只能用于了解各产品证据结构，不能据此直接证明产品优劣。</w:t>
      </w:r>
    </w:p>
    <w:p w14:paraId="77404EFE">
      <w:pPr>
        <w:pStyle w:val="5"/>
        <w:keepNext w:val="0"/>
        <w:keepLines w:val="0"/>
        <w:widowControl/>
        <w:suppressLineNumbers w:val="0"/>
      </w:pPr>
      <w:r>
        <w:t>缩写：</w:t>
      </w:r>
    </w:p>
    <w:p w14:paraId="0E47D82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**LSM：**最小二乘均值； </w:t>
      </w:r>
    </w:p>
    <w:p w14:paraId="73FD917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**ETD：**估计治疗差异； </w:t>
      </w:r>
    </w:p>
    <w:p w14:paraId="263D02A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**CI：**置信区间； </w:t>
      </w:r>
    </w:p>
    <w:p w14:paraId="6AA1E1C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**T2DM：**2型糖尿病； </w:t>
      </w:r>
    </w:p>
    <w:p w14:paraId="7EB169E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**OSA：**阻塞性睡眠呼吸暂停； </w:t>
      </w:r>
    </w:p>
    <w:p w14:paraId="4EBF2A3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**CVOT：**心血管结局试验； </w:t>
      </w:r>
    </w:p>
    <w:p w14:paraId="0F98AD2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**RWE：**真实世界证据。 </w:t>
      </w:r>
    </w:p>
    <w:p w14:paraId="24592E9B">
      <w:pPr>
        <w:pStyle w:val="5"/>
        <w:keepNext w:val="0"/>
        <w:keepLines w:val="0"/>
        <w:widowControl/>
        <w:suppressLineNumbers w:val="0"/>
      </w:pPr>
      <w:r>
        <w:t>**来源：**G第10—36页；J第14页；H第2—3页。</w:t>
      </w:r>
    </w:p>
    <w:p w14:paraId="2BA6356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B5BD6">
      <w:pPr>
        <w:pStyle w:val="2"/>
        <w:keepNext w:val="0"/>
        <w:keepLines w:val="0"/>
        <w:widowControl/>
        <w:suppressLineNumbers w:val="0"/>
      </w:pPr>
      <w:r>
        <w:t>第七部分｜头对头及T2DM研究</w:t>
      </w:r>
    </w:p>
    <w:p w14:paraId="3D7B69E2">
      <w:pPr>
        <w:pStyle w:val="3"/>
        <w:keepNext w:val="0"/>
        <w:keepLines w:val="0"/>
        <w:widowControl/>
        <w:suppressLineNumbers w:val="0"/>
      </w:pPr>
      <w:r>
        <w:t>第32页｜埃诺格鲁肽2.4 mg vs司美格鲁肽2.4 mg头对头研究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5"/>
        <w:gridCol w:w="2010"/>
        <w:gridCol w:w="2006"/>
        <w:gridCol w:w="2195"/>
      </w:tblGrid>
      <w:tr w14:paraId="411DF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D4A5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研究指标</w:t>
            </w:r>
          </w:p>
        </w:tc>
        <w:tc>
          <w:tcPr>
            <w:tcW w:w="0" w:type="auto"/>
            <w:shd w:val="clear"/>
            <w:vAlign w:val="center"/>
          </w:tcPr>
          <w:p w14:paraId="47AC74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埃诺格鲁肽2.4 mg</w:t>
            </w:r>
          </w:p>
        </w:tc>
        <w:tc>
          <w:tcPr>
            <w:tcW w:w="0" w:type="auto"/>
            <w:shd w:val="clear"/>
            <w:vAlign w:val="center"/>
          </w:tcPr>
          <w:p w14:paraId="6A78AE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司美格鲁肽2.4 mg</w:t>
            </w:r>
          </w:p>
        </w:tc>
        <w:tc>
          <w:tcPr>
            <w:tcW w:w="0" w:type="auto"/>
            <w:shd w:val="clear"/>
            <w:vAlign w:val="center"/>
          </w:tcPr>
          <w:p w14:paraId="596663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组间结果或资料表述</w:t>
            </w:r>
          </w:p>
        </w:tc>
      </w:tr>
      <w:tr w14:paraId="6D513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66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治疗时间</w:t>
            </w:r>
          </w:p>
        </w:tc>
        <w:tc>
          <w:tcPr>
            <w:tcW w:w="0" w:type="auto"/>
            <w:shd w:val="clear"/>
            <w:vAlign w:val="center"/>
          </w:tcPr>
          <w:p w14:paraId="7FC48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20周</w:t>
            </w:r>
          </w:p>
        </w:tc>
        <w:tc>
          <w:tcPr>
            <w:tcW w:w="0" w:type="auto"/>
            <w:shd w:val="clear"/>
            <w:vAlign w:val="center"/>
          </w:tcPr>
          <w:p w14:paraId="58A5C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20周</w:t>
            </w:r>
          </w:p>
        </w:tc>
        <w:tc>
          <w:tcPr>
            <w:tcW w:w="0" w:type="auto"/>
            <w:shd w:val="clear"/>
            <w:vAlign w:val="center"/>
          </w:tcPr>
          <w:p w14:paraId="10E34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相同</w:t>
            </w:r>
          </w:p>
        </w:tc>
      </w:tr>
      <w:tr w14:paraId="0009B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C5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剂量</w:t>
            </w:r>
          </w:p>
        </w:tc>
        <w:tc>
          <w:tcPr>
            <w:tcW w:w="0" w:type="auto"/>
            <w:shd w:val="clear"/>
            <w:vAlign w:val="center"/>
          </w:tcPr>
          <w:p w14:paraId="40713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 mg</w:t>
            </w:r>
          </w:p>
        </w:tc>
        <w:tc>
          <w:tcPr>
            <w:tcW w:w="0" w:type="auto"/>
            <w:shd w:val="clear"/>
            <w:vAlign w:val="center"/>
          </w:tcPr>
          <w:p w14:paraId="4E3A2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 mg</w:t>
            </w:r>
          </w:p>
        </w:tc>
        <w:tc>
          <w:tcPr>
            <w:tcW w:w="0" w:type="auto"/>
            <w:shd w:val="clear"/>
            <w:vAlign w:val="center"/>
          </w:tcPr>
          <w:p w14:paraId="49F46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同等剂量</w:t>
            </w:r>
          </w:p>
        </w:tc>
      </w:tr>
      <w:tr w14:paraId="0A97F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7D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体重较基线变化</w:t>
            </w:r>
          </w:p>
        </w:tc>
        <w:tc>
          <w:tcPr>
            <w:tcW w:w="0" w:type="auto"/>
            <w:shd w:val="clear"/>
            <w:vAlign w:val="center"/>
          </w:tcPr>
          <w:p w14:paraId="215A1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−12.8%</w:t>
            </w:r>
          </w:p>
        </w:tc>
        <w:tc>
          <w:tcPr>
            <w:tcW w:w="0" w:type="auto"/>
            <w:shd w:val="clear"/>
            <w:vAlign w:val="center"/>
          </w:tcPr>
          <w:p w14:paraId="5A80C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−9.5%</w:t>
            </w:r>
          </w:p>
        </w:tc>
        <w:tc>
          <w:tcPr>
            <w:tcW w:w="0" w:type="auto"/>
            <w:shd w:val="clear"/>
            <w:vAlign w:val="center"/>
          </w:tcPr>
          <w:p w14:paraId="397DB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P＜0.001</w:t>
            </w:r>
          </w:p>
        </w:tc>
      </w:tr>
      <w:tr w14:paraId="364E5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B61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相对体重降幅提升</w:t>
            </w:r>
          </w:p>
        </w:tc>
        <w:tc>
          <w:tcPr>
            <w:tcW w:w="0" w:type="auto"/>
            <w:shd w:val="clear"/>
            <w:vAlign w:val="center"/>
          </w:tcPr>
          <w:p w14:paraId="03013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/>
            <w:vAlign w:val="center"/>
          </w:tcPr>
          <w:p w14:paraId="223B8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90E3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上传资料表述</w:t>
            </w:r>
          </w:p>
        </w:tc>
      </w:tr>
      <w:tr w14:paraId="5C395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93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减重≥5%患者比例</w:t>
            </w:r>
          </w:p>
        </w:tc>
        <w:tc>
          <w:tcPr>
            <w:tcW w:w="0" w:type="auto"/>
            <w:shd w:val="clear"/>
            <w:vAlign w:val="center"/>
          </w:tcPr>
          <w:p w14:paraId="6B064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98.9%</w:t>
            </w:r>
          </w:p>
        </w:tc>
        <w:tc>
          <w:tcPr>
            <w:tcW w:w="0" w:type="auto"/>
            <w:shd w:val="clear"/>
            <w:vAlign w:val="center"/>
          </w:tcPr>
          <w:p w14:paraId="12637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原页未列具体值</w:t>
            </w:r>
          </w:p>
        </w:tc>
        <w:tc>
          <w:tcPr>
            <w:tcW w:w="0" w:type="auto"/>
            <w:shd w:val="clear"/>
            <w:vAlign w:val="center"/>
          </w:tcPr>
          <w:p w14:paraId="30CBC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埃诺格鲁肽实际比例</w:t>
            </w:r>
          </w:p>
        </w:tc>
      </w:tr>
      <w:tr w14:paraId="3230C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B2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减重≥10%患者比例</w:t>
            </w:r>
          </w:p>
        </w:tc>
        <w:tc>
          <w:tcPr>
            <w:tcW w:w="0" w:type="auto"/>
            <w:shd w:val="clear"/>
            <w:vAlign w:val="center"/>
          </w:tcPr>
          <w:p w14:paraId="76717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74.4%</w:t>
            </w:r>
          </w:p>
        </w:tc>
        <w:tc>
          <w:tcPr>
            <w:tcW w:w="0" w:type="auto"/>
            <w:shd w:val="clear"/>
            <w:vAlign w:val="center"/>
          </w:tcPr>
          <w:p w14:paraId="6E74B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39.5%</w:t>
            </w:r>
          </w:p>
        </w:tc>
        <w:tc>
          <w:tcPr>
            <w:tcW w:w="0" w:type="auto"/>
            <w:shd w:val="clear"/>
            <w:vAlign w:val="center"/>
          </w:tcPr>
          <w:p w14:paraId="4D43D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P＜0.001</w:t>
            </w:r>
          </w:p>
        </w:tc>
      </w:tr>
      <w:tr w14:paraId="05BC2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4A3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腰围变化</w:t>
            </w:r>
          </w:p>
        </w:tc>
        <w:tc>
          <w:tcPr>
            <w:tcW w:w="0" w:type="auto"/>
            <w:shd w:val="clear"/>
            <w:vAlign w:val="center"/>
          </w:tcPr>
          <w:p w14:paraId="56ACA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−10.5 cm</w:t>
            </w:r>
          </w:p>
        </w:tc>
        <w:tc>
          <w:tcPr>
            <w:tcW w:w="0" w:type="auto"/>
            <w:shd w:val="clear"/>
            <w:vAlign w:val="center"/>
          </w:tcPr>
          <w:p w14:paraId="713E4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−8.7 cm</w:t>
            </w:r>
          </w:p>
        </w:tc>
        <w:tc>
          <w:tcPr>
            <w:tcW w:w="0" w:type="auto"/>
            <w:shd w:val="clear"/>
            <w:vAlign w:val="center"/>
          </w:tcPr>
          <w:p w14:paraId="2361A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P＜0.05</w:t>
            </w:r>
          </w:p>
        </w:tc>
      </w:tr>
      <w:tr w14:paraId="42F02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77A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相对腰围降幅提升</w:t>
            </w:r>
          </w:p>
        </w:tc>
        <w:tc>
          <w:tcPr>
            <w:tcW w:w="0" w:type="auto"/>
            <w:shd w:val="clear"/>
            <w:vAlign w:val="center"/>
          </w:tcPr>
          <w:p w14:paraId="43C42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6A804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3ED0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上传资料表述</w:t>
            </w:r>
          </w:p>
        </w:tc>
      </w:tr>
      <w:tr w14:paraId="2A7E0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7A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恶心</w:t>
            </w:r>
          </w:p>
        </w:tc>
        <w:tc>
          <w:tcPr>
            <w:tcW w:w="0" w:type="auto"/>
            <w:shd w:val="clear"/>
            <w:vAlign w:val="center"/>
          </w:tcPr>
          <w:p w14:paraId="20C07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较低</w:t>
            </w:r>
          </w:p>
        </w:tc>
        <w:tc>
          <w:tcPr>
            <w:tcW w:w="0" w:type="auto"/>
            <w:shd w:val="clear"/>
            <w:vAlign w:val="center"/>
          </w:tcPr>
          <w:p w14:paraId="70979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较高</w:t>
            </w:r>
          </w:p>
        </w:tc>
        <w:tc>
          <w:tcPr>
            <w:tcW w:w="0" w:type="auto"/>
            <w:shd w:val="clear"/>
            <w:vAlign w:val="center"/>
          </w:tcPr>
          <w:p w14:paraId="4F0BF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埃诺格鲁肽更低</w:t>
            </w:r>
          </w:p>
        </w:tc>
      </w:tr>
      <w:tr w14:paraId="5D740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A3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腹胀等GI不良反应</w:t>
            </w:r>
          </w:p>
        </w:tc>
        <w:tc>
          <w:tcPr>
            <w:tcW w:w="0" w:type="auto"/>
            <w:shd w:val="clear"/>
            <w:vAlign w:val="center"/>
          </w:tcPr>
          <w:p w14:paraId="7893D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较低</w:t>
            </w:r>
          </w:p>
        </w:tc>
        <w:tc>
          <w:tcPr>
            <w:tcW w:w="0" w:type="auto"/>
            <w:shd w:val="clear"/>
            <w:vAlign w:val="center"/>
          </w:tcPr>
          <w:p w14:paraId="6CAC7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较高</w:t>
            </w:r>
          </w:p>
        </w:tc>
        <w:tc>
          <w:tcPr>
            <w:tcW w:w="0" w:type="auto"/>
            <w:shd w:val="clear"/>
            <w:vAlign w:val="center"/>
          </w:tcPr>
          <w:p w14:paraId="1D1A9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埃诺格鲁肽更低</w:t>
            </w:r>
          </w:p>
        </w:tc>
      </w:tr>
      <w:tr w14:paraId="3C9E2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FE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总体胃肠道耐受趋势</w:t>
            </w:r>
          </w:p>
        </w:tc>
        <w:tc>
          <w:tcPr>
            <w:tcW w:w="0" w:type="auto"/>
            <w:shd w:val="clear"/>
            <w:vAlign w:val="center"/>
          </w:tcPr>
          <w:p w14:paraId="0EED8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较有利</w:t>
            </w:r>
          </w:p>
        </w:tc>
        <w:tc>
          <w:tcPr>
            <w:tcW w:w="0" w:type="auto"/>
            <w:shd w:val="clear"/>
            <w:vAlign w:val="center"/>
          </w:tcPr>
          <w:p w14:paraId="3E9A8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5CB7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基于20周研究观察</w:t>
            </w:r>
          </w:p>
        </w:tc>
      </w:tr>
    </w:tbl>
    <w:p w14:paraId="33BAB299">
      <w:pPr>
        <w:pStyle w:val="4"/>
        <w:keepNext w:val="0"/>
        <w:keepLines w:val="0"/>
        <w:widowControl/>
        <w:suppressLineNumbers w:val="0"/>
      </w:pPr>
      <w:r>
        <w:t>研究价值</w:t>
      </w:r>
    </w:p>
    <w:p w14:paraId="7C19614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同一研究； </w:t>
      </w:r>
    </w:p>
    <w:p w14:paraId="05CAA2E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相同剂量； </w:t>
      </w:r>
    </w:p>
    <w:p w14:paraId="252303E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相同治疗时间； </w:t>
      </w:r>
    </w:p>
    <w:p w14:paraId="458FA5B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能够直接比较两款产品； </w:t>
      </w:r>
    </w:p>
    <w:p w14:paraId="6C288AF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证据解释强于不同RCT之间的跨研究比较。 </w:t>
      </w:r>
    </w:p>
    <w:p w14:paraId="6D61AC2A">
      <w:pPr>
        <w:pStyle w:val="4"/>
        <w:keepNext w:val="0"/>
        <w:keepLines w:val="0"/>
        <w:widowControl/>
        <w:suppressLineNumbers w:val="0"/>
      </w:pPr>
      <w:r>
        <w:t>证据边界</w:t>
      </w:r>
    </w:p>
    <w:p w14:paraId="37552F0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治疗时间仅20周； </w:t>
      </w:r>
    </w:p>
    <w:p w14:paraId="0CEFA6D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数据来源为上传材料中的2026 ADA会议poster； </w:t>
      </w:r>
    </w:p>
    <w:p w14:paraId="371934C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研究编号SCw0502-1122； </w:t>
      </w:r>
    </w:p>
    <w:p w14:paraId="0FE5191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不能直接外推至长期维持、长期停药反弹、心血管结局和长期安全性； </w:t>
      </w:r>
    </w:p>
    <w:p w14:paraId="27B81EA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后续使用应以正式全文、说明书和批准推广材料为准。 </w:t>
      </w:r>
    </w:p>
    <w:p w14:paraId="63829E5D">
      <w:pPr>
        <w:pStyle w:val="4"/>
        <w:keepNext w:val="0"/>
        <w:keepLines w:val="0"/>
        <w:widowControl/>
        <w:suppressLineNumbers w:val="0"/>
      </w:pPr>
      <w:r>
        <w:t>资料解析说明</w:t>
      </w:r>
    </w:p>
    <w:p w14:paraId="4E0BBB3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上传PDF部分机器解析文字出现方向性错位，但原页图表和具体数值均显示埃诺格鲁肽体重及腰围降幅更大。本页按原图表数值整理。</w:t>
      </w:r>
    </w:p>
    <w:p w14:paraId="4B39A49A">
      <w:pPr>
        <w:pStyle w:val="5"/>
        <w:keepNext w:val="0"/>
        <w:keepLines w:val="0"/>
        <w:widowControl/>
        <w:suppressLineNumbers w:val="0"/>
      </w:pPr>
      <w:r>
        <w:t>**来源：**I第2—6页。</w:t>
      </w:r>
    </w:p>
    <w:p w14:paraId="58429B7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19DA5">
      <w:pPr>
        <w:pStyle w:val="3"/>
        <w:keepNext w:val="0"/>
        <w:keepLines w:val="0"/>
        <w:widowControl/>
        <w:suppressLineNumbers w:val="0"/>
      </w:pPr>
      <w:r>
        <w:t>第33页｜EECOH-1与EECOH-2研究设计对比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7"/>
        <w:gridCol w:w="4320"/>
        <w:gridCol w:w="2949"/>
      </w:tblGrid>
      <w:tr w14:paraId="300ED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7C54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771EE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EECOH-1</w:t>
            </w:r>
          </w:p>
        </w:tc>
        <w:tc>
          <w:tcPr>
            <w:tcW w:w="0" w:type="auto"/>
            <w:shd w:val="clear"/>
            <w:vAlign w:val="center"/>
          </w:tcPr>
          <w:p w14:paraId="2CEF00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EECOH-2</w:t>
            </w:r>
          </w:p>
        </w:tc>
      </w:tr>
      <w:tr w14:paraId="60753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8DD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治疗场景</w:t>
            </w:r>
          </w:p>
        </w:tc>
        <w:tc>
          <w:tcPr>
            <w:tcW w:w="0" w:type="auto"/>
            <w:shd w:val="clear"/>
            <w:vAlign w:val="center"/>
          </w:tcPr>
          <w:p w14:paraId="6513B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T2DM单药治疗</w:t>
            </w:r>
          </w:p>
        </w:tc>
        <w:tc>
          <w:tcPr>
            <w:tcW w:w="0" w:type="auto"/>
            <w:shd w:val="clear"/>
            <w:vAlign w:val="center"/>
          </w:tcPr>
          <w:p w14:paraId="667F2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联合二甲双胍</w:t>
            </w:r>
          </w:p>
        </w:tc>
      </w:tr>
      <w:tr w14:paraId="146CD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ED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</w:t>
            </w:r>
          </w:p>
        </w:tc>
        <w:tc>
          <w:tcPr>
            <w:tcW w:w="0" w:type="auto"/>
            <w:shd w:val="clear"/>
            <w:vAlign w:val="center"/>
          </w:tcPr>
          <w:p w14:paraId="585D8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多中心、随机、双盲、安慰剂对照Ⅲ期</w:t>
            </w:r>
          </w:p>
        </w:tc>
        <w:tc>
          <w:tcPr>
            <w:tcW w:w="0" w:type="auto"/>
            <w:shd w:val="clear"/>
            <w:vAlign w:val="center"/>
          </w:tcPr>
          <w:p w14:paraId="162B3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多中心、活性对照Ⅲ期</w:t>
            </w:r>
          </w:p>
        </w:tc>
      </w:tr>
      <w:tr w14:paraId="39473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56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中心</w:t>
            </w:r>
          </w:p>
        </w:tc>
        <w:tc>
          <w:tcPr>
            <w:tcW w:w="0" w:type="auto"/>
            <w:shd w:val="clear"/>
            <w:vAlign w:val="center"/>
          </w:tcPr>
          <w:p w14:paraId="75F06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中国32个中心</w:t>
            </w:r>
          </w:p>
        </w:tc>
        <w:tc>
          <w:tcPr>
            <w:tcW w:w="0" w:type="auto"/>
            <w:shd w:val="clear"/>
            <w:vAlign w:val="center"/>
          </w:tcPr>
          <w:p w14:paraId="3A5C7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中国多中心</w:t>
            </w:r>
          </w:p>
        </w:tc>
      </w:tr>
      <w:tr w14:paraId="543F7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20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样本量</w:t>
            </w:r>
          </w:p>
        </w:tc>
        <w:tc>
          <w:tcPr>
            <w:tcW w:w="0" w:type="auto"/>
            <w:shd w:val="clear"/>
            <w:vAlign w:val="center"/>
          </w:tcPr>
          <w:p w14:paraId="09BED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211例</w:t>
            </w:r>
          </w:p>
        </w:tc>
        <w:tc>
          <w:tcPr>
            <w:tcW w:w="0" w:type="auto"/>
            <w:shd w:val="clear"/>
            <w:vAlign w:val="center"/>
          </w:tcPr>
          <w:p w14:paraId="27F4F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621例</w:t>
            </w:r>
          </w:p>
        </w:tc>
      </w:tr>
      <w:tr w14:paraId="4DA79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531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埃诺格鲁肽剂量</w:t>
            </w:r>
          </w:p>
        </w:tc>
        <w:tc>
          <w:tcPr>
            <w:tcW w:w="0" w:type="auto"/>
            <w:shd w:val="clear"/>
            <w:vAlign w:val="center"/>
          </w:tcPr>
          <w:p w14:paraId="7ECBF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0.6、1.2 mg</w:t>
            </w:r>
          </w:p>
        </w:tc>
        <w:tc>
          <w:tcPr>
            <w:tcW w:w="0" w:type="auto"/>
            <w:shd w:val="clear"/>
            <w:vAlign w:val="center"/>
          </w:tcPr>
          <w:p w14:paraId="52FDB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0.6、1.2 mg</w:t>
            </w:r>
          </w:p>
        </w:tc>
      </w:tr>
      <w:tr w14:paraId="1F18E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46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对照</w:t>
            </w:r>
          </w:p>
        </w:tc>
        <w:tc>
          <w:tcPr>
            <w:tcW w:w="0" w:type="auto"/>
            <w:shd w:val="clear"/>
            <w:vAlign w:val="center"/>
          </w:tcPr>
          <w:p w14:paraId="40420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对应剂量匹配安慰剂</w:t>
            </w:r>
          </w:p>
        </w:tc>
        <w:tc>
          <w:tcPr>
            <w:tcW w:w="0" w:type="auto"/>
            <w:shd w:val="clear"/>
            <w:vAlign w:val="center"/>
          </w:tcPr>
          <w:p w14:paraId="46EDB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度拉糖肽1.5 mg</w:t>
            </w:r>
          </w:p>
        </w:tc>
      </w:tr>
      <w:tr w14:paraId="0BA29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00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分组样本</w:t>
            </w:r>
          </w:p>
        </w:tc>
        <w:tc>
          <w:tcPr>
            <w:tcW w:w="0" w:type="auto"/>
            <w:shd w:val="clear"/>
            <w:vAlign w:val="center"/>
          </w:tcPr>
          <w:p w14:paraId="7F4B9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69、71、36及35例</w:t>
            </w:r>
          </w:p>
        </w:tc>
        <w:tc>
          <w:tcPr>
            <w:tcW w:w="0" w:type="auto"/>
            <w:shd w:val="clear"/>
            <w:vAlign w:val="center"/>
          </w:tcPr>
          <w:p w14:paraId="6003C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206、208、207例</w:t>
            </w:r>
          </w:p>
        </w:tc>
      </w:tr>
      <w:tr w14:paraId="25E4D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BC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主要终点时间</w:t>
            </w:r>
          </w:p>
        </w:tc>
        <w:tc>
          <w:tcPr>
            <w:tcW w:w="0" w:type="auto"/>
            <w:shd w:val="clear"/>
            <w:vAlign w:val="center"/>
          </w:tcPr>
          <w:p w14:paraId="466A0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24周</w:t>
            </w:r>
          </w:p>
        </w:tc>
        <w:tc>
          <w:tcPr>
            <w:tcW w:w="0" w:type="auto"/>
            <w:shd w:val="clear"/>
            <w:vAlign w:val="center"/>
          </w:tcPr>
          <w:p w14:paraId="5DDC6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32周</w:t>
            </w:r>
          </w:p>
        </w:tc>
      </w:tr>
      <w:tr w14:paraId="06260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72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总观察</w:t>
            </w:r>
          </w:p>
        </w:tc>
        <w:tc>
          <w:tcPr>
            <w:tcW w:w="0" w:type="auto"/>
            <w:shd w:val="clear"/>
            <w:vAlign w:val="center"/>
          </w:tcPr>
          <w:p w14:paraId="1B913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延长至52周</w:t>
            </w:r>
          </w:p>
        </w:tc>
        <w:tc>
          <w:tcPr>
            <w:tcW w:w="0" w:type="auto"/>
            <w:shd w:val="clear"/>
            <w:vAlign w:val="center"/>
          </w:tcPr>
          <w:p w14:paraId="0ED53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资料按研究阶段评价</w:t>
            </w:r>
          </w:p>
        </w:tc>
      </w:tr>
      <w:tr w14:paraId="5FBE1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3B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主要终点</w:t>
            </w:r>
          </w:p>
        </w:tc>
        <w:tc>
          <w:tcPr>
            <w:tcW w:w="0" w:type="auto"/>
            <w:shd w:val="clear"/>
            <w:vAlign w:val="center"/>
          </w:tcPr>
          <w:p w14:paraId="49AF3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HbA1c较基线变化</w:t>
            </w:r>
          </w:p>
        </w:tc>
        <w:tc>
          <w:tcPr>
            <w:tcW w:w="0" w:type="auto"/>
            <w:shd w:val="clear"/>
            <w:vAlign w:val="center"/>
          </w:tcPr>
          <w:p w14:paraId="6CACE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HbA1c较基线变化</w:t>
            </w:r>
          </w:p>
        </w:tc>
      </w:tr>
      <w:tr w14:paraId="246CC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52E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其他指标</w:t>
            </w:r>
          </w:p>
        </w:tc>
        <w:tc>
          <w:tcPr>
            <w:tcW w:w="0" w:type="auto"/>
            <w:shd w:val="clear"/>
            <w:vAlign w:val="center"/>
          </w:tcPr>
          <w:p w14:paraId="1BD47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FPG、2hPPG、7点SMBG、HOMA-β、HOMA-IR、体重、腰围及血脂</w:t>
            </w:r>
          </w:p>
        </w:tc>
        <w:tc>
          <w:tcPr>
            <w:tcW w:w="0" w:type="auto"/>
            <w:shd w:val="clear"/>
            <w:vAlign w:val="center"/>
          </w:tcPr>
          <w:p w14:paraId="24C99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FPG、血糖达标率、体重、腰围及代谢指标</w:t>
            </w:r>
          </w:p>
        </w:tc>
      </w:tr>
    </w:tbl>
    <w:p w14:paraId="4F06E827">
      <w:pPr>
        <w:pStyle w:val="5"/>
        <w:keepNext w:val="0"/>
        <w:keepLines w:val="0"/>
        <w:widowControl/>
        <w:suppressLineNumbers w:val="0"/>
      </w:pPr>
      <w:r>
        <w:t>缩写：</w:t>
      </w:r>
    </w:p>
    <w:p w14:paraId="44816E9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**HbA1c：**糖化血红蛋白； </w:t>
      </w:r>
    </w:p>
    <w:p w14:paraId="017398F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**FPG：**空腹血糖； </w:t>
      </w:r>
    </w:p>
    <w:p w14:paraId="0D66FB4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**2hPPG：**餐后2小时血糖； </w:t>
      </w:r>
    </w:p>
    <w:p w14:paraId="05E5641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**SMBG：**自我血糖监测； </w:t>
      </w:r>
    </w:p>
    <w:p w14:paraId="0450367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**HOMA-β：**胰岛β细胞功能评估； </w:t>
      </w:r>
    </w:p>
    <w:p w14:paraId="205CDD7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**HOMA-IR：**胰岛素抵抗评估； </w:t>
      </w:r>
    </w:p>
    <w:p w14:paraId="070559A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**MET：**二甲双胍。 </w:t>
      </w:r>
    </w:p>
    <w:p w14:paraId="6875C544">
      <w:pPr>
        <w:pStyle w:val="5"/>
        <w:keepNext w:val="0"/>
        <w:keepLines w:val="0"/>
        <w:widowControl/>
        <w:suppressLineNumbers w:val="0"/>
      </w:pPr>
      <w:r>
        <w:t>**来源：**G第46—70页及EECOH-1、EECOH-2研究设计页。</w:t>
      </w:r>
    </w:p>
    <w:p w14:paraId="0498A948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E9F9A">
      <w:pPr>
        <w:pStyle w:val="3"/>
        <w:keepNext w:val="0"/>
        <w:keepLines w:val="0"/>
        <w:widowControl/>
        <w:suppressLineNumbers w:val="0"/>
      </w:pPr>
      <w:r>
        <w:t>第34页｜EECOH研究结果与临床意义</w:t>
      </w:r>
    </w:p>
    <w:p w14:paraId="1FECDDC3">
      <w:pPr>
        <w:pStyle w:val="4"/>
        <w:keepNext w:val="0"/>
        <w:keepLines w:val="0"/>
        <w:widowControl/>
        <w:suppressLineNumbers w:val="0"/>
      </w:pPr>
      <w:r>
        <w:t>EECOH-1：证明埃诺格鲁肽自身降糖有效</w:t>
      </w:r>
    </w:p>
    <w:p w14:paraId="7841AC9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0.6 mg和1.2 mg均显著降低HbA1c； </w:t>
      </w:r>
    </w:p>
    <w:p w14:paraId="38D5F27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第4周即可观察到HbA1c下降； </w:t>
      </w:r>
    </w:p>
    <w:p w14:paraId="6C5D882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降糖作用维持至52周； </w:t>
      </w:r>
    </w:p>
    <w:p w14:paraId="31A0B4A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FPG、2hPPG和7点SMBG改善； </w:t>
      </w:r>
    </w:p>
    <w:p w14:paraId="4C560B7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HbA1c＜7.0%及≤6.5%的患者比例提高； </w:t>
      </w:r>
    </w:p>
    <w:p w14:paraId="5DE9115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体重和腰围下降； </w:t>
      </w:r>
    </w:p>
    <w:p w14:paraId="45C8D08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HOMA-β和HOMA-IR改善； </w:t>
      </w:r>
    </w:p>
    <w:p w14:paraId="44D758E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安全性符合GLP-1RA已知特征。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1521"/>
        <w:gridCol w:w="1521"/>
        <w:gridCol w:w="1536"/>
      </w:tblGrid>
      <w:tr w14:paraId="07DA9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178F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59F04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0.6 mg</w:t>
            </w:r>
          </w:p>
        </w:tc>
        <w:tc>
          <w:tcPr>
            <w:tcW w:w="0" w:type="auto"/>
            <w:shd w:val="clear"/>
            <w:vAlign w:val="center"/>
          </w:tcPr>
          <w:p w14:paraId="74B4B6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1.2 mg</w:t>
            </w:r>
          </w:p>
        </w:tc>
        <w:tc>
          <w:tcPr>
            <w:tcW w:w="0" w:type="auto"/>
            <w:shd w:val="clear"/>
            <w:vAlign w:val="center"/>
          </w:tcPr>
          <w:p w14:paraId="6F6D76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安慰剂</w:t>
            </w:r>
          </w:p>
        </w:tc>
      </w:tr>
      <w:tr w14:paraId="77121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59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基线HbA1c</w:t>
            </w:r>
          </w:p>
        </w:tc>
        <w:tc>
          <w:tcPr>
            <w:tcW w:w="0" w:type="auto"/>
            <w:shd w:val="clear"/>
            <w:vAlign w:val="center"/>
          </w:tcPr>
          <w:p w14:paraId="689E5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8.54%</w:t>
            </w:r>
          </w:p>
        </w:tc>
        <w:tc>
          <w:tcPr>
            <w:tcW w:w="0" w:type="auto"/>
            <w:shd w:val="clear"/>
            <w:vAlign w:val="center"/>
          </w:tcPr>
          <w:p w14:paraId="3BA3E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8.51%</w:t>
            </w:r>
          </w:p>
        </w:tc>
        <w:tc>
          <w:tcPr>
            <w:tcW w:w="0" w:type="auto"/>
            <w:shd w:val="clear"/>
            <w:vAlign w:val="center"/>
          </w:tcPr>
          <w:p w14:paraId="65D3B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8.51%</w:t>
            </w:r>
          </w:p>
        </w:tc>
      </w:tr>
      <w:tr w14:paraId="41E96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F1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24周HbA1c变化</w:t>
            </w:r>
          </w:p>
        </w:tc>
        <w:tc>
          <w:tcPr>
            <w:tcW w:w="0" w:type="auto"/>
            <w:shd w:val="clear"/>
            <w:vAlign w:val="center"/>
          </w:tcPr>
          <w:p w14:paraId="24BF6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−1.96%</w:t>
            </w:r>
          </w:p>
        </w:tc>
        <w:tc>
          <w:tcPr>
            <w:tcW w:w="0" w:type="auto"/>
            <w:shd w:val="clear"/>
            <w:vAlign w:val="center"/>
          </w:tcPr>
          <w:p w14:paraId="28148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−2.43%</w:t>
            </w:r>
          </w:p>
        </w:tc>
        <w:tc>
          <w:tcPr>
            <w:tcW w:w="0" w:type="auto"/>
            <w:shd w:val="clear"/>
            <w:vAlign w:val="center"/>
          </w:tcPr>
          <w:p w14:paraId="3C422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−0.87%</w:t>
            </w:r>
          </w:p>
        </w:tc>
      </w:tr>
      <w:tr w14:paraId="4E121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29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24周FPG变化</w:t>
            </w:r>
          </w:p>
        </w:tc>
        <w:tc>
          <w:tcPr>
            <w:tcW w:w="0" w:type="auto"/>
            <w:shd w:val="clear"/>
            <w:vAlign w:val="center"/>
          </w:tcPr>
          <w:p w14:paraId="33EB6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−2.89 mmol/L</w:t>
            </w:r>
          </w:p>
        </w:tc>
        <w:tc>
          <w:tcPr>
            <w:tcW w:w="0" w:type="auto"/>
            <w:shd w:val="clear"/>
            <w:vAlign w:val="center"/>
          </w:tcPr>
          <w:p w14:paraId="6E65D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−3.32 mmol/L</w:t>
            </w:r>
          </w:p>
        </w:tc>
        <w:tc>
          <w:tcPr>
            <w:tcW w:w="0" w:type="auto"/>
            <w:shd w:val="clear"/>
            <w:vAlign w:val="center"/>
          </w:tcPr>
          <w:p w14:paraId="35716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−1.21 mmol/L</w:t>
            </w:r>
          </w:p>
        </w:tc>
      </w:tr>
    </w:tbl>
    <w:p w14:paraId="4EB7970B">
      <w:pPr>
        <w:pStyle w:val="4"/>
        <w:keepNext w:val="0"/>
        <w:keepLines w:val="0"/>
        <w:widowControl/>
        <w:suppressLineNumbers w:val="0"/>
      </w:pPr>
      <w:r>
        <w:t>EECOH-2：提供成熟GLP-1RA活性对照证据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050"/>
        <w:gridCol w:w="2050"/>
        <w:gridCol w:w="1824"/>
      </w:tblGrid>
      <w:tr w14:paraId="4897D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7C1A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8CE23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埃诺格鲁肽0.6 mg</w:t>
            </w:r>
          </w:p>
        </w:tc>
        <w:tc>
          <w:tcPr>
            <w:tcW w:w="0" w:type="auto"/>
            <w:shd w:val="clear"/>
            <w:vAlign w:val="center"/>
          </w:tcPr>
          <w:p w14:paraId="2C8C45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埃诺格鲁肽1.2 mg</w:t>
            </w:r>
          </w:p>
        </w:tc>
        <w:tc>
          <w:tcPr>
            <w:tcW w:w="0" w:type="auto"/>
            <w:shd w:val="clear"/>
            <w:vAlign w:val="center"/>
          </w:tcPr>
          <w:p w14:paraId="2A1855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度拉糖肽1.5 mg</w:t>
            </w:r>
          </w:p>
        </w:tc>
      </w:tr>
      <w:tr w14:paraId="1D0DB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D3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基线HbA1c</w:t>
            </w:r>
          </w:p>
        </w:tc>
        <w:tc>
          <w:tcPr>
            <w:tcW w:w="0" w:type="auto"/>
            <w:shd w:val="clear"/>
            <w:vAlign w:val="center"/>
          </w:tcPr>
          <w:p w14:paraId="10036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8.39%</w:t>
            </w:r>
          </w:p>
        </w:tc>
        <w:tc>
          <w:tcPr>
            <w:tcW w:w="0" w:type="auto"/>
            <w:shd w:val="clear"/>
            <w:vAlign w:val="center"/>
          </w:tcPr>
          <w:p w14:paraId="23F52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8.41%</w:t>
            </w:r>
          </w:p>
        </w:tc>
        <w:tc>
          <w:tcPr>
            <w:tcW w:w="0" w:type="auto"/>
            <w:shd w:val="clear"/>
            <w:vAlign w:val="center"/>
          </w:tcPr>
          <w:p w14:paraId="1FAB9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8.40%</w:t>
            </w:r>
          </w:p>
        </w:tc>
      </w:tr>
      <w:tr w14:paraId="7618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28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32周HbA1c变化</w:t>
            </w:r>
          </w:p>
        </w:tc>
        <w:tc>
          <w:tcPr>
            <w:tcW w:w="0" w:type="auto"/>
            <w:shd w:val="clear"/>
            <w:vAlign w:val="center"/>
          </w:tcPr>
          <w:p w14:paraId="211E4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−1.91%</w:t>
            </w:r>
          </w:p>
        </w:tc>
        <w:tc>
          <w:tcPr>
            <w:tcW w:w="0" w:type="auto"/>
            <w:shd w:val="clear"/>
            <w:vAlign w:val="center"/>
          </w:tcPr>
          <w:p w14:paraId="07627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−1.89%</w:t>
            </w:r>
          </w:p>
        </w:tc>
        <w:tc>
          <w:tcPr>
            <w:tcW w:w="0" w:type="auto"/>
            <w:shd w:val="clear"/>
            <w:vAlign w:val="center"/>
          </w:tcPr>
          <w:p w14:paraId="4489B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−1.65%</w:t>
            </w:r>
          </w:p>
        </w:tc>
      </w:tr>
      <w:tr w14:paraId="09169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7C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ETD</w:t>
            </w:r>
          </w:p>
        </w:tc>
        <w:tc>
          <w:tcPr>
            <w:tcW w:w="0" w:type="auto"/>
            <w:shd w:val="clear"/>
            <w:vAlign w:val="center"/>
          </w:tcPr>
          <w:p w14:paraId="21AC2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−0.26%</w:t>
            </w:r>
          </w:p>
        </w:tc>
        <w:tc>
          <w:tcPr>
            <w:tcW w:w="0" w:type="auto"/>
            <w:shd w:val="clear"/>
            <w:vAlign w:val="center"/>
          </w:tcPr>
          <w:p w14:paraId="0F213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−0.24%</w:t>
            </w:r>
          </w:p>
        </w:tc>
        <w:tc>
          <w:tcPr>
            <w:tcW w:w="0" w:type="auto"/>
            <w:shd w:val="clear"/>
            <w:vAlign w:val="center"/>
          </w:tcPr>
          <w:p w14:paraId="3336E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6AA1D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BE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FPG变化</w:t>
            </w:r>
          </w:p>
        </w:tc>
        <w:tc>
          <w:tcPr>
            <w:tcW w:w="0" w:type="auto"/>
            <w:shd w:val="clear"/>
            <w:vAlign w:val="center"/>
          </w:tcPr>
          <w:p w14:paraId="6F4F4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−2.55 mmol/L</w:t>
            </w:r>
          </w:p>
        </w:tc>
        <w:tc>
          <w:tcPr>
            <w:tcW w:w="0" w:type="auto"/>
            <w:shd w:val="clear"/>
            <w:vAlign w:val="center"/>
          </w:tcPr>
          <w:p w14:paraId="5762E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−2.71 mmol/L</w:t>
            </w:r>
          </w:p>
        </w:tc>
        <w:tc>
          <w:tcPr>
            <w:tcW w:w="0" w:type="auto"/>
            <w:shd w:val="clear"/>
            <w:vAlign w:val="center"/>
          </w:tcPr>
          <w:p w14:paraId="33684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−2.13 mmol/L</w:t>
            </w:r>
          </w:p>
        </w:tc>
      </w:tr>
    </w:tbl>
    <w:p w14:paraId="40CDCF3F">
      <w:pPr>
        <w:pStyle w:val="5"/>
        <w:keepNext w:val="0"/>
        <w:keepLines w:val="0"/>
        <w:widowControl/>
        <w:suppressLineNumbers w:val="0"/>
      </w:pPr>
      <w:r>
        <w:t>研究还显示：</w:t>
      </w:r>
    </w:p>
    <w:p w14:paraId="52CEDEB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HbA1c达标比例提高； </w:t>
      </w:r>
    </w:p>
    <w:p w14:paraId="78B2559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体重和腰围改善； </w:t>
      </w:r>
    </w:p>
    <w:p w14:paraId="62A610C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多项代谢指标改善； </w:t>
      </w:r>
    </w:p>
    <w:p w14:paraId="228AC32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未发现新的安全性信号。 </w:t>
      </w:r>
    </w:p>
    <w:p w14:paraId="0DF52529">
      <w:pPr>
        <w:pStyle w:val="4"/>
        <w:keepNext w:val="0"/>
        <w:keepLines w:val="0"/>
        <w:widowControl/>
        <w:suppressLineNumbers w:val="0"/>
      </w:pPr>
      <w:r>
        <w:t>研究意义</w:t>
      </w:r>
    </w:p>
    <w:p w14:paraId="5DF7590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EECOH-1证明埃诺格鲁肽自身具有明确的降糖和代谢作用；EECOH-2证明其在成熟GLP-1RA活性对照下仍具有竞争力。</w:t>
      </w:r>
    </w:p>
    <w:p w14:paraId="70A9DD1D">
      <w:pPr>
        <w:pStyle w:val="5"/>
        <w:keepNext w:val="0"/>
        <w:keepLines w:val="0"/>
        <w:widowControl/>
        <w:suppressLineNumbers w:val="0"/>
      </w:pPr>
      <w:r>
        <w:t>**来源：**G中EECOH-1、EECOH-2结果章节。</w:t>
      </w:r>
    </w:p>
    <w:p w14:paraId="6AB18A8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464A7">
      <w:pPr>
        <w:pStyle w:val="2"/>
        <w:keepNext w:val="0"/>
        <w:keepLines w:val="0"/>
        <w:widowControl/>
        <w:suppressLineNumbers w:val="0"/>
      </w:pPr>
      <w:r>
        <w:t>第八部分｜产品总结、市场定位及零售战略</w:t>
      </w:r>
    </w:p>
    <w:p w14:paraId="04E0470C">
      <w:pPr>
        <w:pStyle w:val="3"/>
        <w:keepNext w:val="0"/>
        <w:keepLines w:val="0"/>
        <w:widowControl/>
        <w:suppressLineNumbers w:val="0"/>
      </w:pPr>
      <w:r>
        <w:t>第35页｜埃诺格鲁肽与主要周制剂具体数据对比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1924"/>
        <w:gridCol w:w="1931"/>
        <w:gridCol w:w="1538"/>
        <w:gridCol w:w="2078"/>
      </w:tblGrid>
      <w:tr w14:paraId="67FA2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8888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26AC9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埃诺格鲁肽</w:t>
            </w:r>
          </w:p>
        </w:tc>
        <w:tc>
          <w:tcPr>
            <w:tcW w:w="0" w:type="auto"/>
            <w:shd w:val="clear"/>
            <w:vAlign w:val="center"/>
          </w:tcPr>
          <w:p w14:paraId="30D0C6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司美格鲁肽</w:t>
            </w:r>
          </w:p>
        </w:tc>
        <w:tc>
          <w:tcPr>
            <w:tcW w:w="0" w:type="auto"/>
            <w:shd w:val="clear"/>
            <w:vAlign w:val="center"/>
          </w:tcPr>
          <w:p w14:paraId="2F5253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玛仕度肽</w:t>
            </w:r>
          </w:p>
        </w:tc>
        <w:tc>
          <w:tcPr>
            <w:tcW w:w="0" w:type="auto"/>
            <w:shd w:val="clear"/>
            <w:vAlign w:val="center"/>
          </w:tcPr>
          <w:p w14:paraId="4E4D7A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替尔泊肽</w:t>
            </w:r>
          </w:p>
        </w:tc>
      </w:tr>
      <w:tr w14:paraId="11326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BB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中国核心减重研究</w:t>
            </w:r>
          </w:p>
        </w:tc>
        <w:tc>
          <w:tcPr>
            <w:tcW w:w="0" w:type="auto"/>
            <w:shd w:val="clear"/>
            <w:vAlign w:val="center"/>
          </w:tcPr>
          <w:p w14:paraId="64C04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SLIMMER</w:t>
            </w:r>
          </w:p>
        </w:tc>
        <w:tc>
          <w:tcPr>
            <w:tcW w:w="0" w:type="auto"/>
            <w:shd w:val="clear"/>
            <w:vAlign w:val="center"/>
          </w:tcPr>
          <w:p w14:paraId="52A34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STEP 7</w:t>
            </w:r>
          </w:p>
        </w:tc>
        <w:tc>
          <w:tcPr>
            <w:tcW w:w="0" w:type="auto"/>
            <w:shd w:val="clear"/>
            <w:vAlign w:val="center"/>
          </w:tcPr>
          <w:p w14:paraId="5BF1A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GLORY-1</w:t>
            </w:r>
          </w:p>
        </w:tc>
        <w:tc>
          <w:tcPr>
            <w:tcW w:w="0" w:type="auto"/>
            <w:shd w:val="clear"/>
            <w:vAlign w:val="center"/>
          </w:tcPr>
          <w:p w14:paraId="49C24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SURMOUNT-CN</w:t>
            </w:r>
          </w:p>
        </w:tc>
      </w:tr>
      <w:tr w14:paraId="7187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C4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核心剂量</w:t>
            </w:r>
          </w:p>
        </w:tc>
        <w:tc>
          <w:tcPr>
            <w:tcW w:w="0" w:type="auto"/>
            <w:shd w:val="clear"/>
            <w:vAlign w:val="center"/>
          </w:tcPr>
          <w:p w14:paraId="1C11D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 mg</w:t>
            </w:r>
          </w:p>
        </w:tc>
        <w:tc>
          <w:tcPr>
            <w:tcW w:w="0" w:type="auto"/>
            <w:shd w:val="clear"/>
            <w:vAlign w:val="center"/>
          </w:tcPr>
          <w:p w14:paraId="74832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 mg</w:t>
            </w:r>
          </w:p>
        </w:tc>
        <w:tc>
          <w:tcPr>
            <w:tcW w:w="0" w:type="auto"/>
            <w:shd w:val="clear"/>
            <w:vAlign w:val="center"/>
          </w:tcPr>
          <w:p w14:paraId="34297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mg</w:t>
            </w:r>
          </w:p>
        </w:tc>
        <w:tc>
          <w:tcPr>
            <w:tcW w:w="0" w:type="auto"/>
            <w:shd w:val="clear"/>
            <w:vAlign w:val="center"/>
          </w:tcPr>
          <w:p w14:paraId="1AD72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 mg</w:t>
            </w:r>
          </w:p>
        </w:tc>
      </w:tr>
      <w:tr w14:paraId="74E90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2F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治疗时间</w:t>
            </w:r>
          </w:p>
        </w:tc>
        <w:tc>
          <w:tcPr>
            <w:tcW w:w="0" w:type="auto"/>
            <w:shd w:val="clear"/>
            <w:vAlign w:val="center"/>
          </w:tcPr>
          <w:p w14:paraId="3544F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</w:t>
            </w:r>
          </w:p>
        </w:tc>
        <w:tc>
          <w:tcPr>
            <w:tcW w:w="0" w:type="auto"/>
            <w:shd w:val="clear"/>
            <w:vAlign w:val="center"/>
          </w:tcPr>
          <w:p w14:paraId="242E1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44周</w:t>
            </w:r>
          </w:p>
        </w:tc>
        <w:tc>
          <w:tcPr>
            <w:tcW w:w="0" w:type="auto"/>
            <w:shd w:val="clear"/>
            <w:vAlign w:val="center"/>
          </w:tcPr>
          <w:p w14:paraId="2CCB8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</w:t>
            </w:r>
          </w:p>
        </w:tc>
        <w:tc>
          <w:tcPr>
            <w:tcW w:w="0" w:type="auto"/>
            <w:shd w:val="clear"/>
            <w:vAlign w:val="center"/>
          </w:tcPr>
          <w:p w14:paraId="34CB5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52周</w:t>
            </w:r>
          </w:p>
        </w:tc>
      </w:tr>
      <w:tr w14:paraId="18598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16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体重变化</w:t>
            </w:r>
          </w:p>
        </w:tc>
        <w:tc>
          <w:tcPr>
            <w:tcW w:w="0" w:type="auto"/>
            <w:shd w:val="clear"/>
            <w:vAlign w:val="center"/>
          </w:tcPr>
          <w:p w14:paraId="2DF6D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−15.4%</w:t>
            </w:r>
          </w:p>
        </w:tc>
        <w:tc>
          <w:tcPr>
            <w:tcW w:w="0" w:type="auto"/>
            <w:shd w:val="clear"/>
            <w:vAlign w:val="center"/>
          </w:tcPr>
          <w:p w14:paraId="4540F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−11.8%至−12.8%</w:t>
            </w:r>
          </w:p>
        </w:tc>
        <w:tc>
          <w:tcPr>
            <w:tcW w:w="0" w:type="auto"/>
            <w:shd w:val="clear"/>
            <w:vAlign w:val="center"/>
          </w:tcPr>
          <w:p w14:paraId="2142D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−14.01%</w:t>
            </w:r>
          </w:p>
        </w:tc>
        <w:tc>
          <w:tcPr>
            <w:tcW w:w="0" w:type="auto"/>
            <w:shd w:val="clear"/>
            <w:vAlign w:val="center"/>
          </w:tcPr>
          <w:p w14:paraId="0D3BB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−13.6%</w:t>
            </w:r>
          </w:p>
        </w:tc>
      </w:tr>
      <w:tr w14:paraId="597CB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94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减重≥5%</w:t>
            </w:r>
          </w:p>
        </w:tc>
        <w:tc>
          <w:tcPr>
            <w:tcW w:w="0" w:type="auto"/>
            <w:shd w:val="clear"/>
            <w:vAlign w:val="center"/>
          </w:tcPr>
          <w:p w14:paraId="7CF83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93%</w:t>
            </w:r>
          </w:p>
        </w:tc>
        <w:tc>
          <w:tcPr>
            <w:tcW w:w="0" w:type="auto"/>
            <w:shd w:val="clear"/>
            <w:vAlign w:val="center"/>
          </w:tcPr>
          <w:p w14:paraId="29A0A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85.4%</w:t>
            </w:r>
          </w:p>
        </w:tc>
        <w:tc>
          <w:tcPr>
            <w:tcW w:w="0" w:type="auto"/>
            <w:shd w:val="clear"/>
            <w:vAlign w:val="center"/>
          </w:tcPr>
          <w:p w14:paraId="354EB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81.6%</w:t>
            </w:r>
          </w:p>
        </w:tc>
        <w:tc>
          <w:tcPr>
            <w:tcW w:w="0" w:type="auto"/>
            <w:shd w:val="clear"/>
            <w:vAlign w:val="center"/>
          </w:tcPr>
          <w:p w14:paraId="59957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87.7%</w:t>
            </w:r>
          </w:p>
        </w:tc>
      </w:tr>
      <w:tr w14:paraId="0A51A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6A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腰围变化</w:t>
            </w:r>
          </w:p>
        </w:tc>
        <w:tc>
          <w:tcPr>
            <w:tcW w:w="0" w:type="auto"/>
            <w:shd w:val="clear"/>
            <w:vAlign w:val="center"/>
          </w:tcPr>
          <w:p w14:paraId="0379E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−12.8 cm</w:t>
            </w:r>
          </w:p>
        </w:tc>
        <w:tc>
          <w:tcPr>
            <w:tcW w:w="0" w:type="auto"/>
            <w:shd w:val="clear"/>
            <w:vAlign w:val="center"/>
          </w:tcPr>
          <w:p w14:paraId="29E2C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−10.2至−11.4 cm</w:t>
            </w:r>
          </w:p>
        </w:tc>
        <w:tc>
          <w:tcPr>
            <w:tcW w:w="0" w:type="auto"/>
            <w:shd w:val="clear"/>
            <w:vAlign w:val="center"/>
          </w:tcPr>
          <w:p w14:paraId="734A9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−10.72 cm</w:t>
            </w:r>
          </w:p>
        </w:tc>
        <w:tc>
          <w:tcPr>
            <w:tcW w:w="0" w:type="auto"/>
            <w:shd w:val="clear"/>
            <w:vAlign w:val="center"/>
          </w:tcPr>
          <w:p w14:paraId="2DEA3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−11.4 cm</w:t>
            </w:r>
          </w:p>
        </w:tc>
      </w:tr>
      <w:tr w14:paraId="47A28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FD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GI停药率</w:t>
            </w:r>
          </w:p>
        </w:tc>
        <w:tc>
          <w:tcPr>
            <w:tcW w:w="0" w:type="auto"/>
            <w:shd w:val="clear"/>
            <w:vAlign w:val="center"/>
          </w:tcPr>
          <w:p w14:paraId="322EA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0.6%*</w:t>
            </w:r>
          </w:p>
        </w:tc>
        <w:tc>
          <w:tcPr>
            <w:tcW w:w="0" w:type="auto"/>
            <w:shd w:val="clear"/>
            <w:vAlign w:val="center"/>
          </w:tcPr>
          <w:p w14:paraId="782DE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/>
            <w:vAlign w:val="center"/>
          </w:tcPr>
          <w:p w14:paraId="4B986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1.0%**</w:t>
            </w:r>
          </w:p>
        </w:tc>
        <w:tc>
          <w:tcPr>
            <w:tcW w:w="0" w:type="auto"/>
            <w:shd w:val="clear"/>
            <w:vAlign w:val="center"/>
          </w:tcPr>
          <w:p w14:paraId="22216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2.9%至3.3%</w:t>
            </w:r>
          </w:p>
        </w:tc>
      </w:tr>
      <w:tr w14:paraId="20017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C3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GI持续时间</w:t>
            </w:r>
          </w:p>
        </w:tc>
        <w:tc>
          <w:tcPr>
            <w:tcW w:w="0" w:type="auto"/>
            <w:shd w:val="clear"/>
            <w:vAlign w:val="center"/>
          </w:tcPr>
          <w:p w14:paraId="71889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腹泻2天、恶心2天、呕吐1天</w:t>
            </w:r>
          </w:p>
        </w:tc>
        <w:tc>
          <w:tcPr>
            <w:tcW w:w="0" w:type="auto"/>
            <w:shd w:val="clear"/>
            <w:vAlign w:val="center"/>
          </w:tcPr>
          <w:p w14:paraId="63730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腹泻3天、恶心8天、呕吐2天</w:t>
            </w:r>
          </w:p>
        </w:tc>
        <w:tc>
          <w:tcPr>
            <w:tcW w:w="0" w:type="auto"/>
            <w:shd w:val="clear"/>
            <w:vAlign w:val="center"/>
          </w:tcPr>
          <w:p w14:paraId="74249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原资料未列同口径</w:t>
            </w:r>
          </w:p>
        </w:tc>
        <w:tc>
          <w:tcPr>
            <w:tcW w:w="0" w:type="auto"/>
            <w:shd w:val="clear"/>
            <w:vAlign w:val="center"/>
          </w:tcPr>
          <w:p w14:paraId="52DFD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原资料未列同口径</w:t>
            </w:r>
          </w:p>
        </w:tc>
      </w:tr>
      <w:tr w14:paraId="7AC5A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C7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体重平台/持续性</w:t>
            </w:r>
          </w:p>
        </w:tc>
        <w:tc>
          <w:tcPr>
            <w:tcW w:w="0" w:type="auto"/>
            <w:shd w:val="clear"/>
            <w:vAlign w:val="center"/>
          </w:tcPr>
          <w:p w14:paraId="6FA9D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48周未见明确平台</w:t>
            </w:r>
          </w:p>
        </w:tc>
        <w:tc>
          <w:tcPr>
            <w:tcW w:w="0" w:type="auto"/>
            <w:shd w:val="clear"/>
            <w:vAlign w:val="center"/>
          </w:tcPr>
          <w:p w14:paraId="1E632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具有104周维持证据；停药反弹</w:t>
            </w:r>
          </w:p>
        </w:tc>
        <w:tc>
          <w:tcPr>
            <w:tcW w:w="0" w:type="auto"/>
            <w:shd w:val="clear"/>
            <w:vAlign w:val="center"/>
          </w:tcPr>
          <w:p w14:paraId="0459F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长期数据相对有限</w:t>
            </w:r>
          </w:p>
        </w:tc>
        <w:tc>
          <w:tcPr>
            <w:tcW w:w="0" w:type="auto"/>
            <w:shd w:val="clear"/>
            <w:vAlign w:val="center"/>
          </w:tcPr>
          <w:p w14:paraId="6EEB3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有平台期探索性分析；停药反弹</w:t>
            </w:r>
          </w:p>
        </w:tc>
      </w:tr>
      <w:tr w14:paraId="30229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5F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停药观察</w:t>
            </w:r>
          </w:p>
        </w:tc>
        <w:tc>
          <w:tcPr>
            <w:tcW w:w="0" w:type="auto"/>
            <w:shd w:val="clear"/>
            <w:vAlign w:val="center"/>
          </w:tcPr>
          <w:p w14:paraId="209C8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7周内效果仍存在</w:t>
            </w:r>
          </w:p>
        </w:tc>
        <w:tc>
          <w:tcPr>
            <w:tcW w:w="0" w:type="auto"/>
            <w:shd w:val="clear"/>
            <w:vAlign w:val="center"/>
          </w:tcPr>
          <w:p w14:paraId="10291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STEP 1扩展显示停药后反弹约已减体重的2/3</w:t>
            </w:r>
          </w:p>
        </w:tc>
        <w:tc>
          <w:tcPr>
            <w:tcW w:w="0" w:type="auto"/>
            <w:shd w:val="clear"/>
            <w:vAlign w:val="center"/>
          </w:tcPr>
          <w:p w14:paraId="5B6EB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材料展示停药12周后反弹</w:t>
            </w:r>
          </w:p>
        </w:tc>
        <w:tc>
          <w:tcPr>
            <w:tcW w:w="0" w:type="auto"/>
            <w:shd w:val="clear"/>
            <w:vAlign w:val="center"/>
          </w:tcPr>
          <w:p w14:paraId="6507A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SURMOUNT-4停药后52周体重回升14.0%</w:t>
            </w:r>
          </w:p>
        </w:tc>
      </w:tr>
      <w:tr w14:paraId="290CA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2E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心血管/合并症证据</w:t>
            </w:r>
          </w:p>
        </w:tc>
        <w:tc>
          <w:tcPr>
            <w:tcW w:w="0" w:type="auto"/>
            <w:shd w:val="clear"/>
            <w:vAlign w:val="center"/>
          </w:tcPr>
          <w:p w14:paraId="65758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代谢指标改善；CVOT待积累</w:t>
            </w:r>
          </w:p>
        </w:tc>
        <w:tc>
          <w:tcPr>
            <w:tcW w:w="0" w:type="auto"/>
            <w:shd w:val="clear"/>
            <w:vAlign w:val="center"/>
          </w:tcPr>
          <w:p w14:paraId="24741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SELECT：MACE风险下降20%</w:t>
            </w:r>
          </w:p>
        </w:tc>
        <w:tc>
          <w:tcPr>
            <w:tcW w:w="0" w:type="auto"/>
            <w:shd w:val="clear"/>
            <w:vAlign w:val="center"/>
          </w:tcPr>
          <w:p w14:paraId="24A2A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肝脂改善突出</w:t>
            </w:r>
          </w:p>
        </w:tc>
        <w:tc>
          <w:tcPr>
            <w:tcW w:w="0" w:type="auto"/>
            <w:shd w:val="clear"/>
            <w:vAlign w:val="center"/>
          </w:tcPr>
          <w:p w14:paraId="1353C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OSA及长期糖尿病预防证据</w:t>
            </w:r>
          </w:p>
        </w:tc>
      </w:tr>
      <w:tr w14:paraId="117CD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C1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机制特点</w:t>
            </w:r>
          </w:p>
        </w:tc>
        <w:tc>
          <w:tcPr>
            <w:tcW w:w="0" w:type="auto"/>
            <w:shd w:val="clear"/>
            <w:vAlign w:val="center"/>
          </w:tcPr>
          <w:p w14:paraId="15C31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cAMP偏向单靶点</w:t>
            </w:r>
          </w:p>
        </w:tc>
        <w:tc>
          <w:tcPr>
            <w:tcW w:w="0" w:type="auto"/>
            <w:shd w:val="clear"/>
            <w:vAlign w:val="center"/>
          </w:tcPr>
          <w:p w14:paraId="31791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传统单GLP-1R</w:t>
            </w:r>
          </w:p>
        </w:tc>
        <w:tc>
          <w:tcPr>
            <w:tcW w:w="0" w:type="auto"/>
            <w:shd w:val="clear"/>
            <w:vAlign w:val="center"/>
          </w:tcPr>
          <w:p w14:paraId="3F6D1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GLP-1/GCG</w:t>
            </w:r>
          </w:p>
        </w:tc>
        <w:tc>
          <w:tcPr>
            <w:tcW w:w="0" w:type="auto"/>
            <w:shd w:val="clear"/>
            <w:vAlign w:val="center"/>
          </w:tcPr>
          <w:p w14:paraId="55F3B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GIP/GLP-1</w:t>
            </w:r>
          </w:p>
        </w:tc>
      </w:tr>
      <w:tr w14:paraId="333C5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17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突出优势</w:t>
            </w:r>
          </w:p>
        </w:tc>
        <w:tc>
          <w:tcPr>
            <w:tcW w:w="0" w:type="auto"/>
            <w:shd w:val="clear"/>
            <w:vAlign w:val="center"/>
          </w:tcPr>
          <w:p w14:paraId="5A7B7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中国研究、高应答、短GI持续时间、头对头证据</w:t>
            </w:r>
          </w:p>
        </w:tc>
        <w:tc>
          <w:tcPr>
            <w:tcW w:w="0" w:type="auto"/>
            <w:shd w:val="clear"/>
            <w:vAlign w:val="center"/>
          </w:tcPr>
          <w:p w14:paraId="173D9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长期及心血管结局证据丰富</w:t>
            </w:r>
          </w:p>
        </w:tc>
        <w:tc>
          <w:tcPr>
            <w:tcW w:w="0" w:type="auto"/>
            <w:shd w:val="clear"/>
            <w:vAlign w:val="center"/>
          </w:tcPr>
          <w:p w14:paraId="4EC27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增加能量消耗及肝脂改善</w:t>
            </w:r>
          </w:p>
        </w:tc>
        <w:tc>
          <w:tcPr>
            <w:tcW w:w="0" w:type="auto"/>
            <w:shd w:val="clear"/>
            <w:vAlign w:val="center"/>
          </w:tcPr>
          <w:p w14:paraId="78683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双靶协同、降糖和OSA证据</w:t>
            </w:r>
          </w:p>
        </w:tc>
      </w:tr>
      <w:tr w14:paraId="13AD4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89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主要证据缺口/关注</w:t>
            </w:r>
          </w:p>
        </w:tc>
        <w:tc>
          <w:tcPr>
            <w:tcW w:w="0" w:type="auto"/>
            <w:shd w:val="clear"/>
            <w:vAlign w:val="center"/>
          </w:tcPr>
          <w:p w14:paraId="0A87B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长期CVOT和RWE待积累</w:t>
            </w:r>
          </w:p>
        </w:tc>
        <w:tc>
          <w:tcPr>
            <w:tcW w:w="0" w:type="auto"/>
            <w:shd w:val="clear"/>
            <w:vAlign w:val="center"/>
          </w:tcPr>
          <w:p w14:paraId="79EF3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GI反应及停药反弹</w:t>
            </w:r>
          </w:p>
        </w:tc>
        <w:tc>
          <w:tcPr>
            <w:tcW w:w="0" w:type="auto"/>
            <w:shd w:val="clear"/>
            <w:vAlign w:val="center"/>
          </w:tcPr>
          <w:p w14:paraId="1CEC4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心率及额外GCG效应</w:t>
            </w:r>
          </w:p>
        </w:tc>
        <w:tc>
          <w:tcPr>
            <w:tcW w:w="0" w:type="auto"/>
            <w:shd w:val="clear"/>
            <w:vAlign w:val="center"/>
          </w:tcPr>
          <w:p w14:paraId="40C00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GI、脱发、平台期及反弹</w:t>
            </w:r>
          </w:p>
        </w:tc>
      </w:tr>
    </w:tbl>
    <w:p w14:paraId="5E2348E2">
      <w:pPr>
        <w:pStyle w:val="5"/>
        <w:keepNext w:val="0"/>
        <w:keepLines w:val="0"/>
        <w:widowControl/>
        <w:suppressLineNumbers w:val="0"/>
      </w:pPr>
      <w:r>
        <w:t>*0.6%来自埃诺格鲁肽1.8 mg。</w:t>
      </w:r>
      <w:r>
        <w:br w:type="textWrapping"/>
      </w:r>
      <w:r>
        <w:t>**1.0%来自玛仕度肽4 mg。</w:t>
      </w:r>
      <w:r>
        <w:br w:type="textWrapping"/>
      </w:r>
      <w:r>
        <w:t>替尔泊肽GI停药率在不同上传资料中分别为2.9%和3.3%。</w:t>
      </w:r>
    </w:p>
    <w:p w14:paraId="7C1CDA52">
      <w:pPr>
        <w:pStyle w:val="4"/>
        <w:keepNext w:val="0"/>
        <w:keepLines w:val="0"/>
        <w:widowControl/>
        <w:suppressLineNumbers w:val="0"/>
      </w:pPr>
      <w:r>
        <w:t>必须保留的专业备注</w:t>
      </w:r>
    </w:p>
    <w:p w14:paraId="286705B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本表整合了不同随机对照研究及说明书数据。患者人群、研究时间、核心剂量、统计估计目标和不良事件定义均不同，除第32页头对头研究外，其余产品间数据均不是直接比较。</w:t>
      </w:r>
    </w:p>
    <w:p w14:paraId="012786B7">
      <w:pPr>
        <w:pStyle w:val="5"/>
        <w:keepNext w:val="0"/>
        <w:keepLines w:val="0"/>
        <w:widowControl/>
        <w:suppressLineNumbers w:val="0"/>
      </w:pPr>
      <w:r>
        <w:t>**来源：**G第23—36页；H第2—3页；J第8、14—16页；D中长期及SELECT研究章节。</w:t>
      </w:r>
    </w:p>
    <w:p w14:paraId="47543FA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604D6">
      <w:pPr>
        <w:pStyle w:val="3"/>
        <w:keepNext w:val="0"/>
        <w:keepLines w:val="0"/>
        <w:widowControl/>
        <w:suppressLineNumbers w:val="0"/>
      </w:pPr>
      <w:r>
        <w:t>第36页｜埃诺格鲁肽完整价值链总结</w:t>
      </w:r>
    </w:p>
    <w:p w14:paraId="4160ECBC">
      <w:pPr>
        <w:pStyle w:val="4"/>
        <w:keepNext w:val="0"/>
        <w:keepLines w:val="0"/>
        <w:widowControl/>
        <w:suppressLineNumbers w:val="0"/>
      </w:pPr>
      <w:r>
        <w:t>产品机制</w:t>
      </w:r>
    </w:p>
    <w:p w14:paraId="3A4E849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单GLP-1R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cAMP偏向性激动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减少β-arrestin募集和受体内化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支持持续有效信号</w:t>
      </w:r>
    </w:p>
    <w:p w14:paraId="701FB890">
      <w:pPr>
        <w:pStyle w:val="4"/>
        <w:keepNext w:val="0"/>
        <w:keepLines w:val="0"/>
        <w:widowControl/>
        <w:suppressLineNumbers w:val="0"/>
      </w:pPr>
      <w:r>
        <w:t>临床证据</w:t>
      </w:r>
    </w:p>
    <w:p w14:paraId="140D472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48周体重下降15.4%； </w:t>
      </w:r>
    </w:p>
    <w:p w14:paraId="1F43F75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93%的患者减重≥5%； </w:t>
      </w:r>
    </w:p>
    <w:p w14:paraId="0FCC1B2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中国女性平均减重17.6%； </w:t>
      </w:r>
    </w:p>
    <w:p w14:paraId="0E56AFC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腰围减少12.8 cm； </w:t>
      </w:r>
    </w:p>
    <w:p w14:paraId="7E5C877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尿酸降低62 μmol/L； </w:t>
      </w:r>
    </w:p>
    <w:p w14:paraId="7B751CB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肝脏脂肪含量减少53.1%； </w:t>
      </w:r>
    </w:p>
    <w:p w14:paraId="0A24C18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常见胃肠道不良事件持续时间较短； </w:t>
      </w:r>
    </w:p>
    <w:p w14:paraId="32E990D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48周内未见明确体重平台期； </w:t>
      </w:r>
    </w:p>
    <w:p w14:paraId="382213D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停药后7周减重效果仍然存在； </w:t>
      </w:r>
    </w:p>
    <w:p w14:paraId="4017DFE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20周同剂量头对头研究中，体重和腰围降幅优于司美格鲁肽； </w:t>
      </w:r>
    </w:p>
    <w:p w14:paraId="1E14BFC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EECOH研究支持其降糖和代谢改善作用。 </w:t>
      </w:r>
    </w:p>
    <w:p w14:paraId="77E016D9">
      <w:pPr>
        <w:pStyle w:val="4"/>
        <w:keepNext w:val="0"/>
        <w:keepLines w:val="0"/>
        <w:widowControl/>
        <w:suppressLineNumbers w:val="0"/>
      </w:pPr>
      <w:r>
        <w:t>核心价值主张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935"/>
      </w:tblGrid>
      <w:tr w14:paraId="2E3A0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B553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价值主张</w:t>
            </w:r>
          </w:p>
        </w:tc>
        <w:tc>
          <w:tcPr>
            <w:tcW w:w="0" w:type="auto"/>
            <w:shd w:val="clear"/>
            <w:vAlign w:val="center"/>
          </w:tcPr>
          <w:p w14:paraId="56A127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主要证据</w:t>
            </w:r>
          </w:p>
        </w:tc>
      </w:tr>
      <w:tr w14:paraId="0C243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9F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不难瘦</w:t>
            </w:r>
          </w:p>
        </w:tc>
        <w:tc>
          <w:tcPr>
            <w:tcW w:w="0" w:type="auto"/>
            <w:shd w:val="clear"/>
            <w:vAlign w:val="center"/>
          </w:tcPr>
          <w:p w14:paraId="20017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强效减重、高减重应答率、腰围明显下降</w:t>
            </w:r>
          </w:p>
        </w:tc>
      </w:tr>
      <w:tr w14:paraId="2F7F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44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不难受</w:t>
            </w:r>
          </w:p>
        </w:tc>
        <w:tc>
          <w:tcPr>
            <w:tcW w:w="0" w:type="auto"/>
            <w:shd w:val="clear"/>
            <w:vAlign w:val="center"/>
          </w:tcPr>
          <w:p w14:paraId="62EBB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常见GI事件持续时间较短、GI停药率较低</w:t>
            </w:r>
          </w:p>
        </w:tc>
      </w:tr>
      <w:tr w14:paraId="5F950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62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不难守</w:t>
            </w:r>
          </w:p>
        </w:tc>
        <w:tc>
          <w:tcPr>
            <w:tcW w:w="0" w:type="auto"/>
            <w:shd w:val="clear"/>
            <w:vAlign w:val="center"/>
          </w:tcPr>
          <w:p w14:paraId="5ED8F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48周体重持续下降，停药后7周效果仍有保留</w:t>
            </w:r>
          </w:p>
        </w:tc>
      </w:tr>
      <w:tr w14:paraId="4B269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79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焕新代谢</w:t>
            </w:r>
          </w:p>
        </w:tc>
        <w:tc>
          <w:tcPr>
            <w:tcW w:w="0" w:type="auto"/>
            <w:shd w:val="clear"/>
            <w:vAlign w:val="center"/>
          </w:tcPr>
          <w:p w14:paraId="2CFBB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血压、血脂、尿酸、胰岛素抵抗和肝脂改善</w:t>
            </w:r>
          </w:p>
        </w:tc>
      </w:tr>
    </w:tbl>
    <w:p w14:paraId="6F112277">
      <w:pPr>
        <w:pStyle w:val="4"/>
        <w:keepNext w:val="0"/>
        <w:keepLines w:val="0"/>
        <w:widowControl/>
        <w:suppressLineNumbers w:val="0"/>
      </w:pPr>
      <w:r>
        <w:t>需要平衡表达的证据边界</w:t>
      </w:r>
    </w:p>
    <w:p w14:paraId="1BA0C86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长期心血管结局仍待积累； </w:t>
      </w:r>
    </w:p>
    <w:p w14:paraId="6895A30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停药后仅观察7周，不能推断长期不会反弹； </w:t>
      </w:r>
    </w:p>
    <w:p w14:paraId="3ED5A75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长期真实世界依从性和安全性仍需观察； </w:t>
      </w:r>
    </w:p>
    <w:p w14:paraId="7202CEF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机制优势不能替代临床结局证据； </w:t>
      </w:r>
    </w:p>
    <w:p w14:paraId="0FD1108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除20周头对头研究外，与其他产品的数据均不能直接比较。 </w:t>
      </w:r>
    </w:p>
    <w:p w14:paraId="3567CB0A">
      <w:pPr>
        <w:pStyle w:val="5"/>
        <w:keepNext w:val="0"/>
        <w:keepLines w:val="0"/>
        <w:widowControl/>
        <w:suppressLineNumbers w:val="0"/>
      </w:pPr>
      <w:r>
        <w:t>**来源：**H第1—3页；I第2—6页；J第13—18页；G中SLIMMER及EECOH章节。</w:t>
      </w:r>
    </w:p>
    <w:p w14:paraId="081DD8B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035ED">
      <w:pPr>
        <w:pStyle w:val="3"/>
        <w:keepNext w:val="0"/>
        <w:keepLines w:val="0"/>
        <w:widowControl/>
        <w:suppressLineNumbers w:val="0"/>
      </w:pPr>
      <w:r>
        <w:t>第37页｜中国减重零售市场规模与GLP-1增长</w:t>
      </w:r>
    </w:p>
    <w:p w14:paraId="0330BE8C">
      <w:pPr>
        <w:pStyle w:val="5"/>
        <w:keepNext w:val="0"/>
        <w:keepLines w:val="0"/>
        <w:widowControl/>
        <w:suppressLineNumbers w:val="0"/>
      </w:pPr>
      <w:r>
        <w:t>上传商业材料显示：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5"/>
        <w:gridCol w:w="1395"/>
      </w:tblGrid>
      <w:tr w14:paraId="667A9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A73E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276F8E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</w:tr>
      <w:tr w14:paraId="0B0AB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EB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2024年减重零售市场规模</w:t>
            </w:r>
          </w:p>
        </w:tc>
        <w:tc>
          <w:tcPr>
            <w:tcW w:w="0" w:type="auto"/>
            <w:shd w:val="clear"/>
            <w:vAlign w:val="center"/>
          </w:tcPr>
          <w:p w14:paraId="37F8C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12.44亿元</w:t>
            </w:r>
          </w:p>
        </w:tc>
      </w:tr>
      <w:tr w14:paraId="51866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40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2025年减重零售市场规模</w:t>
            </w:r>
          </w:p>
        </w:tc>
        <w:tc>
          <w:tcPr>
            <w:tcW w:w="0" w:type="auto"/>
            <w:shd w:val="clear"/>
            <w:vAlign w:val="center"/>
          </w:tcPr>
          <w:p w14:paraId="5426E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24.99亿元</w:t>
            </w:r>
          </w:p>
        </w:tc>
      </w:tr>
      <w:tr w14:paraId="5B2AE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4F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2025年同比增长</w:t>
            </w:r>
          </w:p>
        </w:tc>
        <w:tc>
          <w:tcPr>
            <w:tcW w:w="0" w:type="auto"/>
            <w:shd w:val="clear"/>
            <w:vAlign w:val="center"/>
          </w:tcPr>
          <w:p w14:paraId="048A0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94.5%</w:t>
            </w:r>
          </w:p>
        </w:tc>
      </w:tr>
      <w:tr w14:paraId="12CC8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3E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GLP-1品类份额</w:t>
            </w:r>
          </w:p>
        </w:tc>
        <w:tc>
          <w:tcPr>
            <w:tcW w:w="0" w:type="auto"/>
            <w:shd w:val="clear"/>
            <w:vAlign w:val="center"/>
          </w:tcPr>
          <w:p w14:paraId="518B3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55.7%</w:t>
            </w:r>
          </w:p>
        </w:tc>
      </w:tr>
      <w:tr w14:paraId="09264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47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GLP-1份额同比增长</w:t>
            </w:r>
          </w:p>
        </w:tc>
        <w:tc>
          <w:tcPr>
            <w:tcW w:w="0" w:type="auto"/>
            <w:shd w:val="clear"/>
            <w:vAlign w:val="center"/>
          </w:tcPr>
          <w:p w14:paraId="6155A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78.5%</w:t>
            </w:r>
          </w:p>
        </w:tc>
      </w:tr>
      <w:tr w14:paraId="3786B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E5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2025Q1至2026Q1增长</w:t>
            </w:r>
          </w:p>
        </w:tc>
        <w:tc>
          <w:tcPr>
            <w:tcW w:w="0" w:type="auto"/>
            <w:shd w:val="clear"/>
            <w:vAlign w:val="center"/>
          </w:tcPr>
          <w:p w14:paraId="22195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226.5%</w:t>
            </w:r>
          </w:p>
        </w:tc>
      </w:tr>
      <w:tr w14:paraId="73470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F3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中国超重和肥胖人群</w:t>
            </w:r>
          </w:p>
        </w:tc>
        <w:tc>
          <w:tcPr>
            <w:tcW w:w="0" w:type="auto"/>
            <w:shd w:val="clear"/>
            <w:vAlign w:val="center"/>
          </w:tcPr>
          <w:p w14:paraId="52B8C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超过4.02亿</w:t>
            </w:r>
          </w:p>
        </w:tc>
      </w:tr>
    </w:tbl>
    <w:p w14:paraId="77A7952C">
      <w:pPr>
        <w:pStyle w:val="4"/>
        <w:keepNext w:val="0"/>
        <w:keepLines w:val="0"/>
        <w:widowControl/>
        <w:suppressLineNumbers w:val="0"/>
      </w:pPr>
      <w:r>
        <w:t>市场判断</w:t>
      </w:r>
    </w:p>
    <w:p w14:paraId="4337269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减重市场规模快速扩大； </w:t>
      </w:r>
    </w:p>
    <w:p w14:paraId="078115D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GLP-1已成为零售减重品类的重要增长驱动力； </w:t>
      </w:r>
    </w:p>
    <w:p w14:paraId="51AEC49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品类仍处于高速扩容阶段； </w:t>
      </w:r>
    </w:p>
    <w:p w14:paraId="0BAC7A2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疾病人口与实际使用渗透之间存在较大差距。 </w:t>
      </w:r>
    </w:p>
    <w:p w14:paraId="336E85C0">
      <w:pPr>
        <w:pStyle w:val="4"/>
        <w:keepNext w:val="0"/>
        <w:keepLines w:val="0"/>
        <w:widowControl/>
        <w:suppressLineNumbers w:val="0"/>
      </w:pPr>
      <w:r>
        <w:t>专业备注</w:t>
      </w:r>
    </w:p>
    <w:p w14:paraId="29188B7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数据来自中康CMH零售药店口径； </w:t>
      </w:r>
    </w:p>
    <w:p w14:paraId="2F22429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属于商业市场数据，不等同于流行病学研究； </w:t>
      </w:r>
    </w:p>
    <w:p w14:paraId="717211A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上传资料中GLP-1产品统计范围包括诺和盈®、诺和泰®、穆峰达®和信尔美®等； </w:t>
      </w:r>
    </w:p>
    <w:p w14:paraId="57AF283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金额由资料中的1244m和2499m换算为人民币亿元。 </w:t>
      </w:r>
    </w:p>
    <w:p w14:paraId="0C7C2521">
      <w:pPr>
        <w:pStyle w:val="5"/>
        <w:keepNext w:val="0"/>
        <w:keepLines w:val="0"/>
        <w:widowControl/>
        <w:suppressLineNumbers w:val="0"/>
      </w:pPr>
      <w:r>
        <w:t>**来源：**K第2页。</w:t>
      </w:r>
    </w:p>
    <w:p w14:paraId="7D866CEB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BAD30">
      <w:pPr>
        <w:pStyle w:val="3"/>
        <w:keepNext w:val="0"/>
        <w:keepLines w:val="0"/>
        <w:widowControl/>
        <w:suppressLineNumbers w:val="0"/>
      </w:pPr>
      <w:r>
        <w:t>第38页｜零售客群、市场渗透率和渠道机会</w:t>
      </w:r>
    </w:p>
    <w:p w14:paraId="3BEEEF1A">
      <w:pPr>
        <w:pStyle w:val="4"/>
        <w:keepNext w:val="0"/>
        <w:keepLines w:val="0"/>
        <w:widowControl/>
        <w:suppressLineNumbers w:val="0"/>
      </w:pPr>
      <w:r>
        <w:t>零售客群价值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689"/>
        <w:gridCol w:w="1521"/>
      </w:tblGrid>
      <w:tr w14:paraId="2EAEE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9E0A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1F81B0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GLP-1减重客群</w:t>
            </w:r>
          </w:p>
        </w:tc>
        <w:tc>
          <w:tcPr>
            <w:tcW w:w="0" w:type="auto"/>
            <w:shd w:val="clear"/>
            <w:vAlign w:val="center"/>
          </w:tcPr>
          <w:p w14:paraId="644D71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传统零售客群</w:t>
            </w:r>
          </w:p>
        </w:tc>
      </w:tr>
      <w:tr w14:paraId="6875B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AF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主要年龄</w:t>
            </w:r>
          </w:p>
        </w:tc>
        <w:tc>
          <w:tcPr>
            <w:tcW w:w="0" w:type="auto"/>
            <w:shd w:val="clear"/>
            <w:vAlign w:val="center"/>
          </w:tcPr>
          <w:p w14:paraId="7FAE2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20～40岁</w:t>
            </w:r>
          </w:p>
        </w:tc>
        <w:tc>
          <w:tcPr>
            <w:tcW w:w="0" w:type="auto"/>
            <w:shd w:val="clear"/>
            <w:vAlign w:val="center"/>
          </w:tcPr>
          <w:p w14:paraId="511B1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40～65岁</w:t>
            </w:r>
          </w:p>
        </w:tc>
      </w:tr>
      <w:tr w14:paraId="1F42C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F7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平均客单价</w:t>
            </w:r>
          </w:p>
        </w:tc>
        <w:tc>
          <w:tcPr>
            <w:tcW w:w="0" w:type="auto"/>
            <w:shd w:val="clear"/>
            <w:vAlign w:val="center"/>
          </w:tcPr>
          <w:p w14:paraId="616A8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781元</w:t>
            </w:r>
          </w:p>
        </w:tc>
        <w:tc>
          <w:tcPr>
            <w:tcW w:w="0" w:type="auto"/>
            <w:shd w:val="clear"/>
            <w:vAlign w:val="center"/>
          </w:tcPr>
          <w:p w14:paraId="7487A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56元</w:t>
            </w:r>
          </w:p>
        </w:tc>
      </w:tr>
      <w:tr w14:paraId="4463C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01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人均消费金额</w:t>
            </w:r>
          </w:p>
        </w:tc>
        <w:tc>
          <w:tcPr>
            <w:tcW w:w="0" w:type="auto"/>
            <w:shd w:val="clear"/>
            <w:vAlign w:val="center"/>
          </w:tcPr>
          <w:p w14:paraId="48DB3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1773元</w:t>
            </w:r>
          </w:p>
        </w:tc>
        <w:tc>
          <w:tcPr>
            <w:tcW w:w="0" w:type="auto"/>
            <w:shd w:val="clear"/>
            <w:vAlign w:val="center"/>
          </w:tcPr>
          <w:p w14:paraId="51F74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上传资料未列</w:t>
            </w:r>
          </w:p>
        </w:tc>
      </w:tr>
    </w:tbl>
    <w:p w14:paraId="008BE91B">
      <w:pPr>
        <w:pStyle w:val="4"/>
        <w:keepNext w:val="0"/>
        <w:keepLines w:val="0"/>
        <w:widowControl/>
        <w:suppressLineNumbers w:val="0"/>
      </w:pPr>
      <w:r>
        <w:t>市场转化漏斗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675"/>
      </w:tblGrid>
      <w:tr w14:paraId="01B36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1A05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642E02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比例</w:t>
            </w:r>
          </w:p>
        </w:tc>
      </w:tr>
      <w:tr w14:paraId="0648C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5B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知晓GLP-1减重产品</w:t>
            </w:r>
          </w:p>
        </w:tc>
        <w:tc>
          <w:tcPr>
            <w:tcW w:w="0" w:type="auto"/>
            <w:shd w:val="clear"/>
            <w:vAlign w:val="center"/>
          </w:tcPr>
          <w:p w14:paraId="24ECF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35.0%</w:t>
            </w:r>
          </w:p>
        </w:tc>
      </w:tr>
      <w:tr w14:paraId="0C859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8E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有使用意愿</w:t>
            </w:r>
          </w:p>
        </w:tc>
        <w:tc>
          <w:tcPr>
            <w:tcW w:w="0" w:type="auto"/>
            <w:shd w:val="clear"/>
            <w:vAlign w:val="center"/>
          </w:tcPr>
          <w:p w14:paraId="59C3F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31.0%</w:t>
            </w:r>
          </w:p>
        </w:tc>
      </w:tr>
      <w:tr w14:paraId="001C3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77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实际使用过GLP-1</w:t>
            </w:r>
          </w:p>
        </w:tc>
        <w:tc>
          <w:tcPr>
            <w:tcW w:w="0" w:type="auto"/>
            <w:shd w:val="clear"/>
            <w:vAlign w:val="center"/>
          </w:tcPr>
          <w:p w14:paraId="526D7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4.2%</w:t>
            </w:r>
          </w:p>
        </w:tc>
      </w:tr>
    </w:tbl>
    <w:p w14:paraId="4A48D395">
      <w:pPr>
        <w:pStyle w:val="4"/>
        <w:keepNext w:val="0"/>
        <w:keepLines w:val="0"/>
        <w:widowControl/>
        <w:suppressLineNumbers w:val="0"/>
      </w:pPr>
      <w:r>
        <w:t>未使用GLP-1的主要顾虑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557"/>
      </w:tblGrid>
      <w:tr w14:paraId="32BC3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DF03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顾虑</w:t>
            </w:r>
          </w:p>
        </w:tc>
        <w:tc>
          <w:tcPr>
            <w:tcW w:w="0" w:type="auto"/>
            <w:shd w:val="clear"/>
            <w:vAlign w:val="center"/>
          </w:tcPr>
          <w:p w14:paraId="5DE379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比例</w:t>
            </w:r>
          </w:p>
        </w:tc>
      </w:tr>
      <w:tr w14:paraId="60A40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C2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担忧胃肠道不良反应</w:t>
            </w:r>
          </w:p>
        </w:tc>
        <w:tc>
          <w:tcPr>
            <w:tcW w:w="0" w:type="auto"/>
            <w:shd w:val="clear"/>
            <w:vAlign w:val="center"/>
          </w:tcPr>
          <w:p w14:paraId="3723A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38%</w:t>
            </w:r>
          </w:p>
        </w:tc>
      </w:tr>
      <w:tr w14:paraId="198E6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15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担忧脱发、皮肤下垂</w:t>
            </w:r>
          </w:p>
        </w:tc>
        <w:tc>
          <w:tcPr>
            <w:tcW w:w="0" w:type="auto"/>
            <w:shd w:val="clear"/>
            <w:vAlign w:val="center"/>
          </w:tcPr>
          <w:p w14:paraId="2CCDD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33%</w:t>
            </w:r>
          </w:p>
        </w:tc>
      </w:tr>
      <w:tr w14:paraId="3F768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7B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担忧肝肾副作用</w:t>
            </w:r>
          </w:p>
        </w:tc>
        <w:tc>
          <w:tcPr>
            <w:tcW w:w="0" w:type="auto"/>
            <w:shd w:val="clear"/>
            <w:vAlign w:val="center"/>
          </w:tcPr>
          <w:p w14:paraId="67ACD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21%</w:t>
            </w:r>
          </w:p>
        </w:tc>
      </w:tr>
      <w:tr w14:paraId="11CD9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24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认为对身体损伤较大</w:t>
            </w:r>
          </w:p>
        </w:tc>
        <w:tc>
          <w:tcPr>
            <w:tcW w:w="0" w:type="auto"/>
            <w:shd w:val="clear"/>
            <w:vAlign w:val="center"/>
          </w:tcPr>
          <w:p w14:paraId="2C2DE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17%</w:t>
            </w:r>
          </w:p>
        </w:tc>
      </w:tr>
    </w:tbl>
    <w:p w14:paraId="50A0A796">
      <w:pPr>
        <w:pStyle w:val="5"/>
        <w:keepNext w:val="0"/>
        <w:keepLines w:val="0"/>
        <w:widowControl/>
        <w:suppressLineNumbers w:val="0"/>
      </w:pPr>
      <w:r>
        <w:t>其他核心痛点：</w:t>
      </w:r>
    </w:p>
    <w:p w14:paraId="531EBD1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担心停药后反弹； </w:t>
      </w:r>
    </w:p>
    <w:p w14:paraId="0B535EF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担心体重进入平台期； </w:t>
      </w:r>
    </w:p>
    <w:p w14:paraId="313D49C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担心减重影响正常生活。 </w:t>
      </w:r>
    </w:p>
    <w:p w14:paraId="64B33A22">
      <w:pPr>
        <w:pStyle w:val="4"/>
        <w:keepNext w:val="0"/>
        <w:keepLines w:val="0"/>
        <w:widowControl/>
        <w:suppressLineNumbers w:val="0"/>
      </w:pPr>
      <w:r>
        <w:t>零售渠道机会</w:t>
      </w:r>
    </w:p>
    <w:p w14:paraId="2936BC2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年轻高价值客群； </w:t>
      </w:r>
    </w:p>
    <w:p w14:paraId="6B14DAF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高客单价和长期复购潜力； </w:t>
      </w:r>
    </w:p>
    <w:p w14:paraId="08CFF84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因不耐受停用GLP-1者约22%； </w:t>
      </w:r>
    </w:p>
    <w:p w14:paraId="33FB6CE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当前平均DOT约1.7支； </w:t>
      </w:r>
    </w:p>
    <w:p w14:paraId="0F348CF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药店需要从“一次销售”转向疾病教育、用药支持及长期管理； </w:t>
      </w:r>
    </w:p>
    <w:p w14:paraId="0A92A23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专业药师和数字化随访是提升依从性的重要抓手。 </w:t>
      </w:r>
    </w:p>
    <w:p w14:paraId="26AF1409">
      <w:pPr>
        <w:pStyle w:val="5"/>
        <w:keepNext w:val="0"/>
        <w:keepLines w:val="0"/>
        <w:widowControl/>
        <w:suppressLineNumbers w:val="0"/>
      </w:pPr>
      <w:r>
        <w:t>**来源：**K第3—7页。</w:t>
      </w:r>
    </w:p>
    <w:p w14:paraId="339AD432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00979">
      <w:pPr>
        <w:pStyle w:val="3"/>
        <w:keepNext w:val="0"/>
        <w:keepLines w:val="0"/>
        <w:widowControl/>
        <w:suppressLineNumbers w:val="0"/>
      </w:pPr>
      <w:r>
        <w:t>第39页｜埃诺格鲁肽市场定位和目标人群</w:t>
      </w:r>
    </w:p>
    <w:p w14:paraId="006CBA56">
      <w:pPr>
        <w:pStyle w:val="4"/>
        <w:keepNext w:val="0"/>
        <w:keepLines w:val="0"/>
        <w:widowControl/>
        <w:suppressLineNumbers w:val="0"/>
      </w:pPr>
      <w:r>
        <w:t>市场定位</w:t>
      </w:r>
    </w:p>
    <w:p w14:paraId="6F44F8B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在强效减重基础上，突出胃肠道负担较轻和持续治疗体验的新一代cAMP偏向型GLP-1RA周制剂。</w:t>
      </w:r>
    </w:p>
    <w:p w14:paraId="732D2367">
      <w:pPr>
        <w:pStyle w:val="4"/>
        <w:keepNext w:val="0"/>
        <w:keepLines w:val="0"/>
        <w:widowControl/>
        <w:suppressLineNumbers w:val="0"/>
      </w:pPr>
      <w:r>
        <w:t>重点人群一：追求明显减重者</w:t>
      </w:r>
    </w:p>
    <w:p w14:paraId="0B0EC56C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经饮食和运动干预仍不能达到目标； </w:t>
      </w:r>
    </w:p>
    <w:p w14:paraId="48E861A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希望实现10%以上减重； </w:t>
      </w:r>
    </w:p>
    <w:p w14:paraId="684A8E3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腹型肥胖或腰围明显增加； </w:t>
      </w:r>
    </w:p>
    <w:p w14:paraId="0071127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合并脂肪肝、高尿酸或其他代谢异常； </w:t>
      </w:r>
    </w:p>
    <w:p w14:paraId="61B3709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不仅关注体重，也关注代谢改善。 </w:t>
      </w:r>
    </w:p>
    <w:p w14:paraId="68F1B756">
      <w:pPr>
        <w:pStyle w:val="4"/>
        <w:keepNext w:val="0"/>
        <w:keepLines w:val="0"/>
        <w:widowControl/>
        <w:suppressLineNumbers w:val="0"/>
      </w:pPr>
      <w:r>
        <w:t>重点人群二：担忧胃肠道不良反应者</w:t>
      </w:r>
    </w:p>
    <w:p w14:paraId="2EB8BE3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因恶心、呕吐、腹泻等顾虑未启动GLP-1治疗； </w:t>
      </w:r>
    </w:p>
    <w:p w14:paraId="79B6D90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既往使用GLP-1后因不耐受停药； </w:t>
      </w:r>
    </w:p>
    <w:p w14:paraId="2E12E96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胃肠道症状影响工作和日常生活； </w:t>
      </w:r>
    </w:p>
    <w:p w14:paraId="543D597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希望更顺利完成剂量递增。 </w:t>
      </w:r>
    </w:p>
    <w:p w14:paraId="713D4DE3">
      <w:pPr>
        <w:pStyle w:val="4"/>
        <w:keepNext w:val="0"/>
        <w:keepLines w:val="0"/>
        <w:widowControl/>
        <w:suppressLineNumbers w:val="0"/>
      </w:pPr>
      <w:r>
        <w:t>重点人群三：反复减重及担心反弹者</w:t>
      </w:r>
    </w:p>
    <w:p w14:paraId="6699049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曾多次认真减重但未能维持； </w:t>
      </w:r>
    </w:p>
    <w:p w14:paraId="4CD6002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担心较早进入平台期； </w:t>
      </w:r>
    </w:p>
    <w:p w14:paraId="0DBEC5C6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担心停药后快速反弹； </w:t>
      </w:r>
    </w:p>
    <w:p w14:paraId="43BB984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需要长期体重管理方案。 </w:t>
      </w:r>
    </w:p>
    <w:p w14:paraId="491E84D8">
      <w:pPr>
        <w:pStyle w:val="4"/>
        <w:keepNext w:val="0"/>
        <w:keepLines w:val="0"/>
        <w:widowControl/>
        <w:suppressLineNumbers w:val="0"/>
      </w:pPr>
      <w:r>
        <w:t>零售转化路径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3336"/>
        <w:gridCol w:w="4511"/>
      </w:tblGrid>
      <w:tr w14:paraId="0279B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8D31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0" w:type="auto"/>
            <w:shd w:val="clear"/>
            <w:vAlign w:val="center"/>
          </w:tcPr>
          <w:p w14:paraId="0B1FD7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目标人群</w:t>
            </w:r>
          </w:p>
        </w:tc>
        <w:tc>
          <w:tcPr>
            <w:tcW w:w="0" w:type="auto"/>
            <w:shd w:val="clear"/>
            <w:vAlign w:val="center"/>
          </w:tcPr>
          <w:p w14:paraId="283515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核心价值</w:t>
            </w:r>
          </w:p>
        </w:tc>
      </w:tr>
      <w:tr w14:paraId="6AA71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D9C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拉新</w:t>
            </w:r>
          </w:p>
        </w:tc>
        <w:tc>
          <w:tcPr>
            <w:tcW w:w="0" w:type="auto"/>
            <w:shd w:val="clear"/>
            <w:vAlign w:val="center"/>
          </w:tcPr>
          <w:p w14:paraId="34884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因副作用担忧而未启动GLP-1者</w:t>
            </w:r>
          </w:p>
        </w:tc>
        <w:tc>
          <w:tcPr>
            <w:tcW w:w="0" w:type="auto"/>
            <w:shd w:val="clear"/>
            <w:vAlign w:val="center"/>
          </w:tcPr>
          <w:p w14:paraId="39A61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通过耐受性及中国研究证据降低启动顾虑</w:t>
            </w:r>
          </w:p>
        </w:tc>
      </w:tr>
      <w:tr w14:paraId="7E128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38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重启</w:t>
            </w:r>
          </w:p>
        </w:tc>
        <w:tc>
          <w:tcPr>
            <w:tcW w:w="0" w:type="auto"/>
            <w:shd w:val="clear"/>
            <w:vAlign w:val="center"/>
          </w:tcPr>
          <w:p w14:paraId="3C541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因不耐受或影响生活而停用者</w:t>
            </w:r>
          </w:p>
        </w:tc>
        <w:tc>
          <w:tcPr>
            <w:tcW w:w="0" w:type="auto"/>
            <w:shd w:val="clear"/>
            <w:vAlign w:val="center"/>
          </w:tcPr>
          <w:p w14:paraId="7E1D0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为脱落患者提供重新评估和治疗选择</w:t>
            </w:r>
          </w:p>
        </w:tc>
      </w:tr>
      <w:tr w14:paraId="741C4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A3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留存</w:t>
            </w:r>
          </w:p>
        </w:tc>
        <w:tc>
          <w:tcPr>
            <w:tcW w:w="0" w:type="auto"/>
            <w:shd w:val="clear"/>
            <w:vAlign w:val="center"/>
          </w:tcPr>
          <w:p w14:paraId="45641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已开始治疗但持续周期较短者</w:t>
            </w:r>
          </w:p>
        </w:tc>
        <w:tc>
          <w:tcPr>
            <w:tcW w:w="0" w:type="auto"/>
            <w:shd w:val="clear"/>
            <w:vAlign w:val="center"/>
          </w:tcPr>
          <w:p w14:paraId="1E123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通过随访和长期管理提高DOT及复购</w:t>
            </w:r>
          </w:p>
        </w:tc>
      </w:tr>
      <w:tr w14:paraId="2B8C5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6D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增值</w:t>
            </w:r>
          </w:p>
        </w:tc>
        <w:tc>
          <w:tcPr>
            <w:tcW w:w="0" w:type="auto"/>
            <w:shd w:val="clear"/>
            <w:vAlign w:val="center"/>
          </w:tcPr>
          <w:p w14:paraId="0304A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同时关注体重与代谢健康者</w:t>
            </w:r>
          </w:p>
        </w:tc>
        <w:tc>
          <w:tcPr>
            <w:tcW w:w="0" w:type="auto"/>
            <w:shd w:val="clear"/>
            <w:vAlign w:val="center"/>
          </w:tcPr>
          <w:p w14:paraId="4D541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强调腰围、肝脂、尿酸及胰岛素抵抗等改善</w:t>
            </w:r>
          </w:p>
        </w:tc>
      </w:tr>
    </w:tbl>
    <w:p w14:paraId="05E3BBC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专业备注：</w:t>
      </w:r>
    </w:p>
    <w:p w14:paraId="4E45EBB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上述目标人群及市场转化路径来自上传市场调研、ACTION-China和产品资料，不能替代医生依据适应症、禁忌证、说明书及患者个体情况进行临床决策。</w:t>
      </w:r>
    </w:p>
    <w:p w14:paraId="0B73315A">
      <w:pPr>
        <w:pStyle w:val="5"/>
        <w:keepNext w:val="0"/>
        <w:keepLines w:val="0"/>
        <w:widowControl/>
        <w:suppressLineNumbers w:val="0"/>
      </w:pPr>
      <w:r>
        <w:t>**来源：**B第20—32页；J第5、18页；K第4—7页。</w:t>
      </w:r>
    </w:p>
    <w:p w14:paraId="0B8CC57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AB600">
      <w:pPr>
        <w:pStyle w:val="3"/>
        <w:keepNext w:val="0"/>
        <w:keepLines w:val="0"/>
        <w:widowControl/>
        <w:suppressLineNumbers w:val="0"/>
      </w:pPr>
      <w:r>
        <w:t>第40页｜埃诺格鲁肽在中国零售市场的战略动作</w:t>
      </w:r>
    </w:p>
    <w:p w14:paraId="2E910FBA">
      <w:pPr>
        <w:pStyle w:val="4"/>
        <w:keepNext w:val="0"/>
        <w:keepLines w:val="0"/>
        <w:widowControl/>
        <w:suppressLineNumbers w:val="0"/>
      </w:pPr>
      <w:r>
        <w:t>一、临床端：筑牢学术高地</w:t>
      </w:r>
    </w:p>
    <w:p w14:paraId="47AF6DA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辉瑞临床背书； </w:t>
      </w:r>
    </w:p>
    <w:p w14:paraId="25732A3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学术推广； </w:t>
      </w:r>
    </w:p>
    <w:p w14:paraId="70DD960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医生教育； </w:t>
      </w:r>
    </w:p>
    <w:p w14:paraId="182BDBE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打通院内至院外患者流转； </w:t>
      </w:r>
    </w:p>
    <w:p w14:paraId="1EDB8590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强化肥胖慢病认知和长期管理理念。 </w:t>
      </w:r>
    </w:p>
    <w:p w14:paraId="01D4A6B7">
      <w:pPr>
        <w:pStyle w:val="4"/>
        <w:keepNext w:val="0"/>
        <w:keepLines w:val="0"/>
        <w:widowControl/>
        <w:suppressLineNumbers w:val="0"/>
      </w:pPr>
      <w:r>
        <w:t>二、社媒端：释放全域声量</w:t>
      </w:r>
    </w:p>
    <w:p w14:paraId="3619384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线上平台矩阵； </w:t>
      </w:r>
    </w:p>
    <w:p w14:paraId="0417292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减重和肥胖疾病科普； </w:t>
      </w:r>
    </w:p>
    <w:p w14:paraId="58CF76F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传递产品差异化价值； </w:t>
      </w:r>
    </w:p>
    <w:p w14:paraId="61A1639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为线下零售终端精准引流； </w:t>
      </w:r>
    </w:p>
    <w:p w14:paraId="426B2F3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上传材料提出目标曝光4亿人次。 </w:t>
      </w:r>
    </w:p>
    <w:p w14:paraId="5900CBE5">
      <w:pPr>
        <w:pStyle w:val="4"/>
        <w:keepNext w:val="0"/>
        <w:keepLines w:val="0"/>
        <w:widowControl/>
        <w:suppressLineNumbers w:val="0"/>
      </w:pPr>
      <w:r>
        <w:t>三、零售端：激活终端转化</w:t>
      </w:r>
    </w:p>
    <w:p w14:paraId="42D2098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覆盖1500家核心减重门店； </w:t>
      </w:r>
    </w:p>
    <w:p w14:paraId="0E9726D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门店动销支持； </w:t>
      </w:r>
    </w:p>
    <w:p w14:paraId="0673A68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店员及药师专业培训； </w:t>
      </w:r>
    </w:p>
    <w:p w14:paraId="3B2A406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消费者教育； </w:t>
      </w:r>
    </w:p>
    <w:p w14:paraId="12EA77F4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减重大师线下课程； </w:t>
      </w:r>
    </w:p>
    <w:p w14:paraId="529C9F4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标准化工具包； </w:t>
      </w:r>
    </w:p>
    <w:p w14:paraId="44D8B38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学协会认证。 </w:t>
      </w:r>
    </w:p>
    <w:p w14:paraId="3A17A288">
      <w:pPr>
        <w:pStyle w:val="4"/>
        <w:keepNext w:val="0"/>
        <w:keepLines w:val="0"/>
        <w:widowControl/>
        <w:suppressLineNumbers w:val="0"/>
      </w:pPr>
      <w:r>
        <w:t>四、患者端：从兴趣激活到长期管理</w:t>
      </w:r>
    </w:p>
    <w:p w14:paraId="4996D77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“超级猩猩×辉瑞”等跨界IP联动； </w:t>
      </w:r>
    </w:p>
    <w:p w14:paraId="03BE0A5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辉瑞体重管理中心； </w:t>
      </w:r>
    </w:p>
    <w:p w14:paraId="0B0F305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健康生活圈、企业联动和减重挑战； </w:t>
      </w:r>
    </w:p>
    <w:p w14:paraId="5874FF4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药师陪伴服务； </w:t>
      </w:r>
    </w:p>
    <w:p w14:paraId="3176B74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用户忠诚计划； </w:t>
      </w:r>
    </w:p>
    <w:p w14:paraId="12EE063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健康管理小程序； </w:t>
      </w:r>
    </w:p>
    <w:p w14:paraId="76D30A4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提供用药支持和长期随访。 </w:t>
      </w:r>
    </w:p>
    <w:p w14:paraId="0706FAA1">
      <w:pPr>
        <w:pStyle w:val="4"/>
        <w:keepNext w:val="0"/>
        <w:keepLines w:val="0"/>
        <w:widowControl/>
        <w:suppressLineNumbers w:val="0"/>
      </w:pPr>
      <w:r>
        <w:t>五、生态端：推动多方合作</w:t>
      </w:r>
    </w:p>
    <w:p w14:paraId="552E99F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响应健康中国和“体重管理年”； </w:t>
      </w:r>
    </w:p>
    <w:p w14:paraId="7DF8FD8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与肥胖和代谢领域相关体系合作； </w:t>
      </w:r>
    </w:p>
    <w:p w14:paraId="052BFAE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政府及专业组织； </w:t>
      </w:r>
    </w:p>
    <w:p w14:paraId="409DAC9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数字化和AI企业； </w:t>
      </w:r>
    </w:p>
    <w:p w14:paraId="1DC4FF4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生活方式合作伙伴； </w:t>
      </w:r>
    </w:p>
    <w:p w14:paraId="67F694F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媒体及渠道伙伴。 </w:t>
      </w:r>
    </w:p>
    <w:p w14:paraId="03AC2ED4">
      <w:pPr>
        <w:pStyle w:val="4"/>
        <w:keepNext w:val="0"/>
        <w:keepLines w:val="0"/>
        <w:widowControl/>
        <w:suppressLineNumbers w:val="0"/>
      </w:pPr>
      <w:r>
        <w:t>六、辉瑞减重战略动作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4875"/>
      </w:tblGrid>
      <w:tr w14:paraId="4E022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89E7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550ED1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上传资料中的战略动作</w:t>
            </w:r>
          </w:p>
        </w:tc>
      </w:tr>
      <w:tr w14:paraId="79F32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AD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2025年9月</w:t>
            </w:r>
          </w:p>
        </w:tc>
        <w:tc>
          <w:tcPr>
            <w:tcW w:w="0" w:type="auto"/>
            <w:shd w:val="clear"/>
            <w:vAlign w:val="center"/>
          </w:tcPr>
          <w:p w14:paraId="0ADBD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收购Metsera，布局肥胖药物管线</w:t>
            </w:r>
          </w:p>
        </w:tc>
      </w:tr>
      <w:tr w14:paraId="7B42A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0D4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2025年12月</w:t>
            </w:r>
          </w:p>
        </w:tc>
        <w:tc>
          <w:tcPr>
            <w:tcW w:w="0" w:type="auto"/>
            <w:shd w:val="clear"/>
            <w:vAlign w:val="center"/>
          </w:tcPr>
          <w:p w14:paraId="7D302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与复星医药旗下药友制药达成全球独家合作</w:t>
            </w:r>
          </w:p>
        </w:tc>
      </w:tr>
      <w:tr w14:paraId="337E7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83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2026年2月</w:t>
            </w:r>
          </w:p>
        </w:tc>
        <w:tc>
          <w:tcPr>
            <w:tcW w:w="0" w:type="auto"/>
            <w:shd w:val="clear"/>
            <w:vAlign w:val="center"/>
          </w:tcPr>
          <w:p w14:paraId="158E4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与先为达生物达成商业化战略合作</w:t>
            </w:r>
          </w:p>
        </w:tc>
      </w:tr>
      <w:tr w14:paraId="2A0CB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97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商业化阶段</w:t>
            </w:r>
          </w:p>
        </w:tc>
        <w:tc>
          <w:tcPr>
            <w:tcW w:w="0" w:type="auto"/>
            <w:shd w:val="clear"/>
            <w:vAlign w:val="center"/>
          </w:tcPr>
          <w:p w14:paraId="76CB2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中国作为先维盈®商业化全球首站</w:t>
            </w:r>
          </w:p>
        </w:tc>
      </w:tr>
      <w:tr w14:paraId="7BA56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70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未来布局</w:t>
            </w:r>
          </w:p>
        </w:tc>
        <w:tc>
          <w:tcPr>
            <w:tcW w:w="0" w:type="auto"/>
            <w:shd w:val="clear"/>
            <w:vAlign w:val="center"/>
          </w:tcPr>
          <w:p w14:paraId="088CF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构建覆盖更多机制和剂型的完整减重产品组合</w:t>
            </w:r>
          </w:p>
        </w:tc>
      </w:tr>
    </w:tbl>
    <w:p w14:paraId="48B253E8">
      <w:pPr>
        <w:pStyle w:val="4"/>
        <w:keepNext w:val="0"/>
        <w:keepLines w:val="0"/>
        <w:widowControl/>
        <w:suppressLineNumbers w:val="0"/>
      </w:pPr>
      <w:r>
        <w:t>最终战略表达</w:t>
      </w:r>
    </w:p>
    <w:p w14:paraId="001CB9F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不是单一产品入局，而是通过临床、社媒、零售、患者管理和生态合作，构建减重长期管理体系。</w:t>
      </w:r>
    </w:p>
    <w:p w14:paraId="0586C48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先维盈®：让患者先盈，让伙伴先营。</w:t>
      </w:r>
    </w:p>
    <w:p w14:paraId="2689762E">
      <w:pPr>
        <w:pStyle w:val="5"/>
        <w:keepNext w:val="0"/>
        <w:keepLines w:val="0"/>
        <w:widowControl/>
        <w:suppressLineNumbers w:val="0"/>
      </w:pPr>
      <w:r>
        <w:t>**来源：**K第7—11页。</w:t>
      </w:r>
    </w:p>
    <w:p w14:paraId="46DE3A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5A1E3"/>
    <w:multiLevelType w:val="multilevel"/>
    <w:tmpl w:val="8045A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06ADDCF"/>
    <w:multiLevelType w:val="multilevel"/>
    <w:tmpl w:val="806AD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B4E428"/>
    <w:multiLevelType w:val="multilevel"/>
    <w:tmpl w:val="84B4E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6250B7F"/>
    <w:multiLevelType w:val="multilevel"/>
    <w:tmpl w:val="86250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82589C4"/>
    <w:multiLevelType w:val="multilevel"/>
    <w:tmpl w:val="88258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97A0A63"/>
    <w:multiLevelType w:val="multilevel"/>
    <w:tmpl w:val="897A0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9BC6C43"/>
    <w:multiLevelType w:val="multilevel"/>
    <w:tmpl w:val="89BC6C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D274B97"/>
    <w:multiLevelType w:val="multilevel"/>
    <w:tmpl w:val="8D274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E8E1998"/>
    <w:multiLevelType w:val="multilevel"/>
    <w:tmpl w:val="8E8E1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E94D8A2"/>
    <w:multiLevelType w:val="multilevel"/>
    <w:tmpl w:val="8E94D8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25132A9"/>
    <w:multiLevelType w:val="multilevel"/>
    <w:tmpl w:val="92513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5751874"/>
    <w:multiLevelType w:val="multilevel"/>
    <w:tmpl w:val="95751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60E30BB"/>
    <w:multiLevelType w:val="multilevel"/>
    <w:tmpl w:val="960E3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EEB6F9C"/>
    <w:multiLevelType w:val="multilevel"/>
    <w:tmpl w:val="9EEB6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F38B4CC"/>
    <w:multiLevelType w:val="multilevel"/>
    <w:tmpl w:val="9F38B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F498F94"/>
    <w:multiLevelType w:val="multilevel"/>
    <w:tmpl w:val="9F498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1054146"/>
    <w:multiLevelType w:val="multilevel"/>
    <w:tmpl w:val="A1054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4747D71"/>
    <w:multiLevelType w:val="multilevel"/>
    <w:tmpl w:val="A4747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5C162E2"/>
    <w:multiLevelType w:val="multilevel"/>
    <w:tmpl w:val="A5C16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D19D9A3"/>
    <w:multiLevelType w:val="multilevel"/>
    <w:tmpl w:val="AD19D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0FF8DF7"/>
    <w:multiLevelType w:val="multilevel"/>
    <w:tmpl w:val="B0FF8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3930BBA"/>
    <w:multiLevelType w:val="multilevel"/>
    <w:tmpl w:val="B3930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4C3AF92"/>
    <w:multiLevelType w:val="multilevel"/>
    <w:tmpl w:val="B4C3A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8B45B19"/>
    <w:multiLevelType w:val="multilevel"/>
    <w:tmpl w:val="B8B45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CF59E49"/>
    <w:multiLevelType w:val="multilevel"/>
    <w:tmpl w:val="CCF59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ECF4914"/>
    <w:multiLevelType w:val="multilevel"/>
    <w:tmpl w:val="CECF49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0254F15"/>
    <w:multiLevelType w:val="multilevel"/>
    <w:tmpl w:val="D0254F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6F60B61"/>
    <w:multiLevelType w:val="multilevel"/>
    <w:tmpl w:val="D6F60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7C7A2FA"/>
    <w:multiLevelType w:val="multilevel"/>
    <w:tmpl w:val="D7C7A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B9203B3"/>
    <w:multiLevelType w:val="multilevel"/>
    <w:tmpl w:val="DB920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DCA1E13"/>
    <w:multiLevelType w:val="multilevel"/>
    <w:tmpl w:val="DDCA1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04563DD"/>
    <w:multiLevelType w:val="multilevel"/>
    <w:tmpl w:val="E0456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47901DC"/>
    <w:multiLevelType w:val="multilevel"/>
    <w:tmpl w:val="E4790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6DC2318"/>
    <w:multiLevelType w:val="multilevel"/>
    <w:tmpl w:val="E6DC2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B009749"/>
    <w:multiLevelType w:val="multilevel"/>
    <w:tmpl w:val="EB009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EE37E520"/>
    <w:multiLevelType w:val="multilevel"/>
    <w:tmpl w:val="EE37E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A341E61"/>
    <w:multiLevelType w:val="multilevel"/>
    <w:tmpl w:val="FA341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BB51F28"/>
    <w:multiLevelType w:val="multilevel"/>
    <w:tmpl w:val="FBB51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C1CC5A2"/>
    <w:multiLevelType w:val="multilevel"/>
    <w:tmpl w:val="FC1CC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F81DC27"/>
    <w:multiLevelType w:val="multilevel"/>
    <w:tmpl w:val="FF81D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0CC0C62"/>
    <w:multiLevelType w:val="multilevel"/>
    <w:tmpl w:val="00CC0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3F2254F"/>
    <w:multiLevelType w:val="multilevel"/>
    <w:tmpl w:val="03F22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4043E03"/>
    <w:multiLevelType w:val="multilevel"/>
    <w:tmpl w:val="04043E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4143C1A"/>
    <w:multiLevelType w:val="multilevel"/>
    <w:tmpl w:val="04143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06ACEF28"/>
    <w:multiLevelType w:val="multilevel"/>
    <w:tmpl w:val="06ACE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07749970"/>
    <w:multiLevelType w:val="multilevel"/>
    <w:tmpl w:val="07749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085654DC"/>
    <w:multiLevelType w:val="multilevel"/>
    <w:tmpl w:val="08565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09DFC504"/>
    <w:multiLevelType w:val="multilevel"/>
    <w:tmpl w:val="09DFC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0AE404D9"/>
    <w:multiLevelType w:val="multilevel"/>
    <w:tmpl w:val="0AE40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0C1DE72A"/>
    <w:multiLevelType w:val="multilevel"/>
    <w:tmpl w:val="0C1DE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10581E8C"/>
    <w:multiLevelType w:val="multilevel"/>
    <w:tmpl w:val="10581E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117A7939"/>
    <w:multiLevelType w:val="multilevel"/>
    <w:tmpl w:val="117A7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117F9D53"/>
    <w:multiLevelType w:val="multilevel"/>
    <w:tmpl w:val="117F9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1AB1AB31"/>
    <w:multiLevelType w:val="multilevel"/>
    <w:tmpl w:val="1AB1A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07965E0"/>
    <w:multiLevelType w:val="multilevel"/>
    <w:tmpl w:val="207965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2551066C"/>
    <w:multiLevelType w:val="multilevel"/>
    <w:tmpl w:val="25510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27B2E857"/>
    <w:multiLevelType w:val="multilevel"/>
    <w:tmpl w:val="27B2E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2A3FD5D8"/>
    <w:multiLevelType w:val="multilevel"/>
    <w:tmpl w:val="2A3FD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2C010D98"/>
    <w:multiLevelType w:val="multilevel"/>
    <w:tmpl w:val="2C010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2C27CCD6"/>
    <w:multiLevelType w:val="multilevel"/>
    <w:tmpl w:val="2C27C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2E835D55"/>
    <w:multiLevelType w:val="multilevel"/>
    <w:tmpl w:val="2E835D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33F75CD4"/>
    <w:multiLevelType w:val="multilevel"/>
    <w:tmpl w:val="33F75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35432905"/>
    <w:multiLevelType w:val="multilevel"/>
    <w:tmpl w:val="35432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37E6CA67"/>
    <w:multiLevelType w:val="multilevel"/>
    <w:tmpl w:val="37E6C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3E7225FE"/>
    <w:multiLevelType w:val="multilevel"/>
    <w:tmpl w:val="3E722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449CB0AB"/>
    <w:multiLevelType w:val="multilevel"/>
    <w:tmpl w:val="449CB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47006564"/>
    <w:multiLevelType w:val="multilevel"/>
    <w:tmpl w:val="47006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5228B17B"/>
    <w:multiLevelType w:val="multilevel"/>
    <w:tmpl w:val="5228B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528008B6"/>
    <w:multiLevelType w:val="multilevel"/>
    <w:tmpl w:val="52800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55076CAF"/>
    <w:multiLevelType w:val="multilevel"/>
    <w:tmpl w:val="55076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5541F82D"/>
    <w:multiLevelType w:val="multilevel"/>
    <w:tmpl w:val="5541F8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55CD66FB"/>
    <w:multiLevelType w:val="multilevel"/>
    <w:tmpl w:val="55CD6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55E1D15B"/>
    <w:multiLevelType w:val="multilevel"/>
    <w:tmpl w:val="55E1D1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5D929998"/>
    <w:multiLevelType w:val="multilevel"/>
    <w:tmpl w:val="5D929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62F2662A"/>
    <w:multiLevelType w:val="multilevel"/>
    <w:tmpl w:val="62F26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2232510"/>
    <w:multiLevelType w:val="multilevel"/>
    <w:tmpl w:val="72232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3274D0E"/>
    <w:multiLevelType w:val="multilevel"/>
    <w:tmpl w:val="73274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7A3DCFAB"/>
    <w:multiLevelType w:val="multilevel"/>
    <w:tmpl w:val="7A3DCF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7B627BA4"/>
    <w:multiLevelType w:val="multilevel"/>
    <w:tmpl w:val="7B627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7F3842F4"/>
    <w:multiLevelType w:val="multilevel"/>
    <w:tmpl w:val="7F384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60"/>
  </w:num>
  <w:num w:numId="3">
    <w:abstractNumId w:val="62"/>
  </w:num>
  <w:num w:numId="4">
    <w:abstractNumId w:val="57"/>
  </w:num>
  <w:num w:numId="5">
    <w:abstractNumId w:val="13"/>
  </w:num>
  <w:num w:numId="6">
    <w:abstractNumId w:val="25"/>
  </w:num>
  <w:num w:numId="7">
    <w:abstractNumId w:val="27"/>
  </w:num>
  <w:num w:numId="8">
    <w:abstractNumId w:val="79"/>
  </w:num>
  <w:num w:numId="9">
    <w:abstractNumId w:val="55"/>
  </w:num>
  <w:num w:numId="10">
    <w:abstractNumId w:val="56"/>
  </w:num>
  <w:num w:numId="11">
    <w:abstractNumId w:val="53"/>
  </w:num>
  <w:num w:numId="12">
    <w:abstractNumId w:val="16"/>
  </w:num>
  <w:num w:numId="13">
    <w:abstractNumId w:val="21"/>
  </w:num>
  <w:num w:numId="14">
    <w:abstractNumId w:val="7"/>
  </w:num>
  <w:num w:numId="15">
    <w:abstractNumId w:val="26"/>
  </w:num>
  <w:num w:numId="16">
    <w:abstractNumId w:val="17"/>
  </w:num>
  <w:num w:numId="17">
    <w:abstractNumId w:val="41"/>
  </w:num>
  <w:num w:numId="18">
    <w:abstractNumId w:val="14"/>
  </w:num>
  <w:num w:numId="19">
    <w:abstractNumId w:val="76"/>
  </w:num>
  <w:num w:numId="20">
    <w:abstractNumId w:val="37"/>
  </w:num>
  <w:num w:numId="21">
    <w:abstractNumId w:val="22"/>
  </w:num>
  <w:num w:numId="22">
    <w:abstractNumId w:val="12"/>
  </w:num>
  <w:num w:numId="23">
    <w:abstractNumId w:val="74"/>
  </w:num>
  <w:num w:numId="24">
    <w:abstractNumId w:val="70"/>
  </w:num>
  <w:num w:numId="25">
    <w:abstractNumId w:val="11"/>
  </w:num>
  <w:num w:numId="26">
    <w:abstractNumId w:val="77"/>
  </w:num>
  <w:num w:numId="27">
    <w:abstractNumId w:val="33"/>
  </w:num>
  <w:num w:numId="28">
    <w:abstractNumId w:val="51"/>
  </w:num>
  <w:num w:numId="29">
    <w:abstractNumId w:val="42"/>
  </w:num>
  <w:num w:numId="30">
    <w:abstractNumId w:val="71"/>
  </w:num>
  <w:num w:numId="31">
    <w:abstractNumId w:val="0"/>
  </w:num>
  <w:num w:numId="32">
    <w:abstractNumId w:val="58"/>
  </w:num>
  <w:num w:numId="33">
    <w:abstractNumId w:val="30"/>
  </w:num>
  <w:num w:numId="34">
    <w:abstractNumId w:val="75"/>
  </w:num>
  <w:num w:numId="35">
    <w:abstractNumId w:val="36"/>
  </w:num>
  <w:num w:numId="36">
    <w:abstractNumId w:val="67"/>
  </w:num>
  <w:num w:numId="37">
    <w:abstractNumId w:val="24"/>
  </w:num>
  <w:num w:numId="38">
    <w:abstractNumId w:val="50"/>
  </w:num>
  <w:num w:numId="39">
    <w:abstractNumId w:val="38"/>
  </w:num>
  <w:num w:numId="40">
    <w:abstractNumId w:val="15"/>
  </w:num>
  <w:num w:numId="41">
    <w:abstractNumId w:val="65"/>
  </w:num>
  <w:num w:numId="42">
    <w:abstractNumId w:val="5"/>
  </w:num>
  <w:num w:numId="43">
    <w:abstractNumId w:val="73"/>
  </w:num>
  <w:num w:numId="44">
    <w:abstractNumId w:val="63"/>
  </w:num>
  <w:num w:numId="45">
    <w:abstractNumId w:val="59"/>
  </w:num>
  <w:num w:numId="46">
    <w:abstractNumId w:val="45"/>
  </w:num>
  <w:num w:numId="47">
    <w:abstractNumId w:val="1"/>
  </w:num>
  <w:num w:numId="48">
    <w:abstractNumId w:val="20"/>
  </w:num>
  <w:num w:numId="49">
    <w:abstractNumId w:val="28"/>
  </w:num>
  <w:num w:numId="50">
    <w:abstractNumId w:val="46"/>
  </w:num>
  <w:num w:numId="51">
    <w:abstractNumId w:val="40"/>
  </w:num>
  <w:num w:numId="52">
    <w:abstractNumId w:val="54"/>
  </w:num>
  <w:num w:numId="53">
    <w:abstractNumId w:val="39"/>
  </w:num>
  <w:num w:numId="54">
    <w:abstractNumId w:val="4"/>
  </w:num>
  <w:num w:numId="55">
    <w:abstractNumId w:val="23"/>
  </w:num>
  <w:num w:numId="56">
    <w:abstractNumId w:val="68"/>
  </w:num>
  <w:num w:numId="57">
    <w:abstractNumId w:val="72"/>
  </w:num>
  <w:num w:numId="58">
    <w:abstractNumId w:val="29"/>
  </w:num>
  <w:num w:numId="59">
    <w:abstractNumId w:val="9"/>
  </w:num>
  <w:num w:numId="60">
    <w:abstractNumId w:val="66"/>
  </w:num>
  <w:num w:numId="61">
    <w:abstractNumId w:val="47"/>
  </w:num>
  <w:num w:numId="62">
    <w:abstractNumId w:val="34"/>
  </w:num>
  <w:num w:numId="63">
    <w:abstractNumId w:val="43"/>
  </w:num>
  <w:num w:numId="64">
    <w:abstractNumId w:val="35"/>
  </w:num>
  <w:num w:numId="65">
    <w:abstractNumId w:val="6"/>
  </w:num>
  <w:num w:numId="66">
    <w:abstractNumId w:val="61"/>
  </w:num>
  <w:num w:numId="67">
    <w:abstractNumId w:val="78"/>
  </w:num>
  <w:num w:numId="68">
    <w:abstractNumId w:val="19"/>
  </w:num>
  <w:num w:numId="69">
    <w:abstractNumId w:val="44"/>
  </w:num>
  <w:num w:numId="70">
    <w:abstractNumId w:val="49"/>
  </w:num>
  <w:num w:numId="71">
    <w:abstractNumId w:val="52"/>
  </w:num>
  <w:num w:numId="72">
    <w:abstractNumId w:val="10"/>
  </w:num>
  <w:num w:numId="73">
    <w:abstractNumId w:val="64"/>
  </w:num>
  <w:num w:numId="74">
    <w:abstractNumId w:val="3"/>
  </w:num>
  <w:num w:numId="75">
    <w:abstractNumId w:val="2"/>
  </w:num>
  <w:num w:numId="76">
    <w:abstractNumId w:val="31"/>
  </w:num>
  <w:num w:numId="77">
    <w:abstractNumId w:val="8"/>
  </w:num>
  <w:num w:numId="78">
    <w:abstractNumId w:val="69"/>
  </w:num>
  <w:num w:numId="79">
    <w:abstractNumId w:val="48"/>
  </w:num>
  <w:num w:numId="8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8E2770"/>
    <w:rsid w:val="7D8E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2026-07-04T07:38:00Z</dcterms:created>
  <dc:creator>洋溢</dc:creator>
  <cp:lastModifiedBy>洋溢</cp:lastModifiedBy>
  <dcterms:modified xsi:type="dcterms:W3CDTF">2026-07-04T07:39:47Z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CA14BDD48A8242F6AEE84A851EBF5497_11</vt:lpwstr>
  </property>
  <property fmtid="{D5CDD505-2E9C-101B-9397-08002B2CF9AE}" pid="4" name="KSOTemplateDocerSaveRecord">
    <vt:lpwstr>eyJoZGlkIjoiZjRkODI2YjYyZTkxZjgxMzdlNWRhZjgzNTA2Yzk2ODkiLCJ1c2VySWQiOiI0MDY5OTE4MDUifQ==</vt:lpwstr>
  </property>
</Properties>
</file>