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16:03:22</w:t>
      </w:r>
    </w:p>
    <w:p>
      <w:r>
        <w:t>来源 ID/URL: Article ID: 6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基于提供的2026年达沃斯世界经济论坛访谈实录，以下是英伟达CEO黄仁勋与贝莱德CEO拉里·芬克对话的核心要点总结：</w:t>
        <w:br/>
        <w:br/>
        <w:t>### 1. AI的本质：平台变革与基础设施</w:t>
        <w:br/>
        <w:t>*   **平台转型：** AI不仅仅是一个应用程序（如ChatGPT），而是一场根本性的计算平台变革，类似于个人电脑、互联网、移动通信和云计算的转型。其核心在于计算机首次能够理解非结构化数据（图像、文本、声音）并进行推理，而非仅执行预录制的程序 [1], [2]。</w:t>
        <w:br/>
        <w:t>*   **基础设施的“五层蛋糕”：** AI产业被比作一个五层架构：1. **能源**；2. **芯片/计算基础设施**；3. **云基础设施**；4. **AI模型**；5. **应用层**（产生经济效益的顶层）。每一层都需要底层支撑，这引发了人类历史上最大规模的基础设施建设浪潮，涉及数万亿美元的投入 [2], [3]。</w:t>
        <w:br/>
        <w:br/>
        <w:t>### 2. 就业与生产力：增强而非替代</w:t>
        <w:br/>
        <w:t>*   **“目的”与“任务”的区别：** 黄仁勋提出了一个分析框架，即区分工作的“目的”（如医生的目的是治病救人）和“任务”（如分析影像、写病历）。AI将自动化“任务”，从而增强人类实现“目的”的能力 [4]。</w:t>
        <w:br/>
        <w:t>*   **反直觉的就业增长：**</w:t>
        <w:br/>
        <w:t xml:space="preserve">    *   **医疗案例：** 放射科医生使用AI分析影像提高了效率，但这并未导致失业，反而因处理量增加、医院收入增长而创造了更多医生岗位 [5]。同理，AI帮助护士处理文档，使其有更多时间照料病人，缓解了医疗资源短缺 [4]。</w:t>
        <w:br/>
        <w:t xml:space="preserve">    *   **蓝领繁荣：** AI基础设施建设（如芯片厂、数据中心）创造了大量对电工、配管工等技能型人才的需求，薪资显著上涨 [6]。</w:t>
        <w:br/>
        <w:br/>
        <w:t>### 3. 全球战略：主权AI与区域机遇</w:t>
        <w:br/>
        <w:t>*   **主权AI (Sovereign AI)：** 黄仁勋强调，AI是国家基础设施的一部分。每个国家都应利用本国的语言、文化和数据建立自己的AI基础设施，而不是完全依赖进口，以避免技术鸿沟 [7], [8]。</w:t>
        <w:br/>
        <w:t>*   **欧洲的机遇：** 欧洲拥有强大的工业和制造业基础。AI作为“无需编程的软件”，可以与物理世界结合（物理AI/机器人技术），这为欧洲提供了跨越纯软件时代、直接引领物理智能制造的独特机遇 [9], [10]。</w:t>
        <w:br/>
        <w:t>*   **发展中国家的潜力：** AI是史上最易用的技术（通过自然语言编程），这降低了技术门槛，使发展中国家和非计算机专业人士也能从AI红利中受益 [8], [11]。</w:t>
        <w:br/>
        <w:br/>
        <w:t>### 4. 投资视角：结构性变革而非泡沫</w:t>
        <w:br/>
        <w:t>*   **非泡沫论：** 当前对AI的巨额投资并非泡沫，而是满足真实需求的结构性变革。证据包括：云端GPU租赁价格持续上涨（供不应求），以及企业研发预算（如制药业）从传统实验室大规模转向AI计算 [10], [12]。</w:t>
        <w:br/>
        <w:t>*   **新的技术突破：** 2025-2026年的关键进展包括：</w:t>
        <w:br/>
        <w:t xml:space="preserve">    1.  **代理式AI (Agentic AI)：** 模型具备了推理和规划能力，减少了幻觉 [13]。</w:t>
        <w:br/>
        <w:t xml:space="preserve">    2.  **物理AI (Physical AI)：** AI开始理解物理定律、化学和生物结构（如蛋白质），推动了材料科学和药物研发的突破 [13]。</w:t>
        <w:br/>
        <w:t xml:space="preserve">    3.  **开源模型的崛起：** 如DeepSeek等开源模型的出现推动了全球行业的进步 [13]。</w:t>
        <w:br/>
        <w:br/>
        <w:t>### 5. 总结</w:t>
        <w:br/>
        <w:t>黄仁勋认为，我们正处于从“软件时代”向“物理AI时代”跨越的关键节点。AI将通过自动化繁琐任务来提升人类工作的核心价值，并在全球范围内推动一场以能源、芯片和数据中心为核心的新工业革命 [7], [3], [4]。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