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7"/>
        <w:tblW w:w="9923" w:type="dxa"/>
        <w:tblInd w:w="0" w:type="dxa"/>
        <w:tblBorders>
          <w:top w:val="double" w:color="auto" w:sz="12" w:space="0"/>
          <w:left w:val="double" w:color="auto" w:sz="12" w:space="0"/>
          <w:bottom w:val="double" w:color="auto" w:sz="12" w:space="0"/>
          <w:right w:val="double" w:color="auto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24"/>
        <w:gridCol w:w="175"/>
        <w:gridCol w:w="400"/>
        <w:gridCol w:w="276"/>
        <w:gridCol w:w="124"/>
        <w:gridCol w:w="1591"/>
        <w:gridCol w:w="719"/>
        <w:gridCol w:w="2014"/>
      </w:tblGrid>
      <w:tr w14:paraId="648E5AAA">
        <w:tblPrEx>
          <w:tblBorders>
            <w:top w:val="double" w:color="auto" w:sz="12" w:space="0"/>
            <w:left w:val="double" w:color="auto" w:sz="12" w:space="0"/>
            <w:bottom w:val="double" w:color="auto" w:sz="12" w:space="0"/>
            <w:right w:val="doub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exact"/>
        </w:trPr>
        <w:tc>
          <w:tcPr>
            <w:tcW w:w="1985" w:type="dxa"/>
            <w:gridSpan w:val="8"/>
            <w:tcBorders>
              <w:top w:val="double" w:color="auto" w:sz="12" w:space="0"/>
              <w:bottom w:val="nil"/>
            </w:tcBorders>
            <w:noWrap w:val="0"/>
            <w:vAlign w:val="top"/>
          </w:tcPr>
          <w:p w14:paraId="7A23E3BC">
            <w:pPr>
              <w:pStyle w:val="53"/>
              <w:tabs>
                <w:tab w:val="left" w:pos="8711"/>
              </w:tabs>
              <w:spacing w:before="156" w:beforeLines="50" w:line="300" w:lineRule="auto"/>
              <w:rPr>
                <w:rFonts w:hint="eastAsia" w:ascii="黑体" w:hAnsi="宋体" w:eastAsia="黑体" w:cs="Arial"/>
                <w:b w:val="0"/>
                <w:bCs w:val="0"/>
                <w:sz w:val="32"/>
                <w:szCs w:val="32"/>
              </w:rPr>
            </w:pPr>
            <w:r>
              <w:rPr>
                <w:rFonts w:hint="eastAsia" w:ascii="黑体" w:hAnsi="宋体" w:eastAsia="黑体" w:cs="Arial"/>
                <w:b w:val="0"/>
                <w:bCs w:val="0"/>
                <w:sz w:val="32"/>
                <w:szCs w:val="32"/>
              </w:rPr>
              <w:t>密级：</w:t>
            </w:r>
            <w:bookmarkStart w:id="0" w:name="PDMS密级"/>
            <w:r>
              <w:rPr>
                <w:rFonts w:hint="eastAsia" w:ascii="黑体" w:hAnsi="宋体" w:eastAsia="黑体" w:cs="Arial"/>
                <w:b w:val="0"/>
                <w:bCs w:val="0"/>
                <w:sz w:val="32"/>
                <w:szCs w:val="32"/>
              </w:rPr>
              <w:t xml:space="preserve">公开 </w:t>
            </w:r>
            <w:bookmarkEnd w:id="0"/>
            <w:bookmarkStart w:id="1" w:name="PDMS保密期限"/>
            <w:r>
              <w:rPr>
                <w:rFonts w:hint="eastAsia" w:ascii="黑体" w:hAnsi="宋体" w:eastAsia="黑体" w:cs="Arial"/>
                <w:b w:val="0"/>
                <w:bCs w:val="0"/>
                <w:sz w:val="32"/>
                <w:szCs w:val="32"/>
              </w:rPr>
              <w:t xml:space="preserve"> </w:t>
            </w:r>
            <w:bookmarkEnd w:id="1"/>
          </w:p>
        </w:tc>
      </w:tr>
      <w:tr w14:paraId="0EF65A01">
        <w:tblPrEx>
          <w:tblBorders>
            <w:top w:val="double" w:color="auto" w:sz="12" w:space="0"/>
            <w:left w:val="double" w:color="auto" w:sz="12" w:space="0"/>
            <w:bottom w:val="double" w:color="auto" w:sz="12" w:space="0"/>
            <w:right w:val="doub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  <w:hidden/>
        </w:trPr>
        <w:tc>
          <w:tcPr>
            <w:tcW w:w="7088" w:type="dxa"/>
            <w:gridSpan w:val="6"/>
            <w:tcBorders>
              <w:top w:val="nil"/>
              <w:bottom w:val="nil"/>
              <w:right w:val="nil"/>
            </w:tcBorders>
            <w:noWrap w:val="0"/>
            <w:vAlign w:val="center"/>
          </w:tcPr>
          <w:p w14:paraId="60BA015D">
            <w:pPr>
              <w:pStyle w:val="53"/>
              <w:tabs>
                <w:tab w:val="left" w:pos="8711"/>
              </w:tabs>
              <w:adjustRightInd w:val="0"/>
              <w:snapToGrid w:val="0"/>
              <w:spacing w:line="300" w:lineRule="auto"/>
              <w:rPr>
                <w:rFonts w:hint="eastAsia" w:ascii="宋体" w:hAnsi="宋体" w:cs="Arial"/>
                <w:b w:val="0"/>
                <w:bCs w:val="0"/>
                <w:vanish/>
                <w:color w:val="FFFFFF"/>
                <w:sz w:val="21"/>
                <w:szCs w:val="21"/>
              </w:rPr>
            </w:pPr>
            <w:r>
              <w:rPr>
                <w:rFonts w:ascii="宋体" w:hAnsi="宋体" w:cs="Arial"/>
                <w:b w:val="0"/>
                <w:bCs w:val="0"/>
                <w:vanish/>
                <w:color w:val="FFFFFF"/>
                <w:sz w:val="21"/>
                <w:szCs w:val="21"/>
              </w:rPr>
              <w:t>yi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EA36407">
            <w:pPr>
              <w:pStyle w:val="53"/>
              <w:tabs>
                <w:tab w:val="left" w:pos="8711"/>
              </w:tabs>
              <w:adjustRightInd w:val="0"/>
              <w:snapToGrid w:val="0"/>
              <w:spacing w:line="300" w:lineRule="auto"/>
              <w:rPr>
                <w:rFonts w:ascii="宋体" w:hAnsi="宋体" w:cs="Arial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cs="Arial"/>
                <w:b w:val="0"/>
                <w:bCs w:val="0"/>
                <w:sz w:val="24"/>
                <w:szCs w:val="24"/>
              </w:rPr>
              <w:t>版本：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0753889F">
            <w:pPr>
              <w:rPr>
                <w:b w:val="0"/>
                <w:bCs w:val="0"/>
              </w:rPr>
            </w:pPr>
          </w:p>
        </w:tc>
      </w:tr>
      <w:tr w14:paraId="1286E663">
        <w:tblPrEx>
          <w:tblBorders>
            <w:top w:val="double" w:color="auto" w:sz="12" w:space="0"/>
            <w:left w:val="double" w:color="auto" w:sz="12" w:space="0"/>
            <w:bottom w:val="double" w:color="auto" w:sz="12" w:space="0"/>
            <w:right w:val="doub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</w:trPr>
        <w:tc>
          <w:tcPr>
            <w:tcW w:w="7088" w:type="dxa"/>
            <w:gridSpan w:val="6"/>
            <w:tcBorders>
              <w:top w:val="nil"/>
              <w:bottom w:val="nil"/>
              <w:right w:val="nil"/>
            </w:tcBorders>
            <w:noWrap w:val="0"/>
            <w:vAlign w:val="center"/>
          </w:tcPr>
          <w:p w14:paraId="472593E7">
            <w:pPr>
              <w:pStyle w:val="53"/>
              <w:tabs>
                <w:tab w:val="left" w:pos="8711"/>
              </w:tabs>
              <w:adjustRightInd w:val="0"/>
              <w:snapToGrid w:val="0"/>
              <w:spacing w:line="300" w:lineRule="auto"/>
              <w:rPr>
                <w:rFonts w:hint="eastAsia" w:ascii="宋体" w:hAnsi="宋体" w:cs="Arial"/>
                <w:b w:val="0"/>
                <w:bCs w:val="0"/>
                <w:sz w:val="21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2A4317FA">
            <w:pPr>
              <w:pStyle w:val="53"/>
              <w:tabs>
                <w:tab w:val="left" w:pos="8711"/>
              </w:tabs>
              <w:adjustRightInd w:val="0"/>
              <w:snapToGrid w:val="0"/>
              <w:spacing w:line="300" w:lineRule="auto"/>
              <w:rPr>
                <w:rFonts w:hint="eastAsia" w:ascii="宋体" w:hAnsi="宋体" w:cs="Arial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cs="Arial"/>
                <w:b w:val="0"/>
                <w:bCs w:val="0"/>
                <w:sz w:val="24"/>
                <w:szCs w:val="24"/>
              </w:rPr>
              <w:t>型别：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2AA1E364">
            <w:pPr>
              <w:rPr>
                <w:b w:val="0"/>
                <w:bCs w:val="0"/>
              </w:rPr>
            </w:pPr>
          </w:p>
        </w:tc>
      </w:tr>
      <w:tr w14:paraId="3D2983AD">
        <w:tblPrEx>
          <w:tblBorders>
            <w:top w:val="double" w:color="auto" w:sz="12" w:space="0"/>
            <w:left w:val="double" w:color="auto" w:sz="12" w:space="0"/>
            <w:bottom w:val="double" w:color="auto" w:sz="12" w:space="0"/>
            <w:right w:val="doub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</w:trPr>
        <w:tc>
          <w:tcPr>
            <w:tcW w:w="7088" w:type="dxa"/>
            <w:gridSpan w:val="6"/>
            <w:tcBorders>
              <w:top w:val="nil"/>
              <w:bottom w:val="nil"/>
              <w:right w:val="nil"/>
            </w:tcBorders>
            <w:noWrap w:val="0"/>
            <w:vAlign w:val="center"/>
          </w:tcPr>
          <w:p w14:paraId="4491B0B9">
            <w:pPr>
              <w:pStyle w:val="53"/>
              <w:tabs>
                <w:tab w:val="left" w:pos="8711"/>
              </w:tabs>
              <w:adjustRightInd w:val="0"/>
              <w:snapToGrid w:val="0"/>
              <w:spacing w:line="300" w:lineRule="auto"/>
              <w:rPr>
                <w:rFonts w:hint="eastAsia" w:ascii="宋体" w:hAnsi="宋体" w:cs="Arial"/>
                <w:b w:val="0"/>
                <w:bCs w:val="0"/>
                <w:sz w:val="21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1BEB1DF">
            <w:pPr>
              <w:pStyle w:val="53"/>
              <w:tabs>
                <w:tab w:val="left" w:pos="8711"/>
              </w:tabs>
              <w:adjustRightInd w:val="0"/>
              <w:snapToGrid w:val="0"/>
              <w:spacing w:line="300" w:lineRule="auto"/>
              <w:rPr>
                <w:rFonts w:hint="eastAsia" w:ascii="宋体" w:hAnsi="宋体" w:cs="Arial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cs="Arial"/>
                <w:b w:val="0"/>
                <w:bCs w:val="0"/>
                <w:sz w:val="24"/>
                <w:szCs w:val="24"/>
              </w:rPr>
              <w:t>阶段：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1320790A">
            <w:pPr>
              <w:rPr>
                <w:b w:val="0"/>
                <w:bCs w:val="0"/>
              </w:rPr>
            </w:pPr>
          </w:p>
        </w:tc>
      </w:tr>
      <w:tr w14:paraId="51E4E4C3">
        <w:tblPrEx>
          <w:tblBorders>
            <w:top w:val="double" w:color="auto" w:sz="12" w:space="0"/>
            <w:left w:val="double" w:color="auto" w:sz="12" w:space="0"/>
            <w:bottom w:val="double" w:color="auto" w:sz="12" w:space="0"/>
            <w:right w:val="doub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exact"/>
        </w:trPr>
        <w:tc>
          <w:tcPr>
            <w:tcW w:w="1985" w:type="dxa"/>
            <w:gridSpan w:val="8"/>
            <w:tcBorders>
              <w:top w:val="nil"/>
              <w:bottom w:val="nil"/>
            </w:tcBorders>
            <w:noWrap w:val="0"/>
            <w:vAlign w:val="center"/>
          </w:tcPr>
          <w:p w14:paraId="6A84DF35">
            <w:pPr>
              <w:pStyle w:val="53"/>
              <w:tabs>
                <w:tab w:val="left" w:pos="8711"/>
              </w:tabs>
              <w:adjustRightInd w:val="0"/>
              <w:snapToGrid w:val="0"/>
              <w:spacing w:line="300" w:lineRule="auto"/>
              <w:rPr>
                <w:rFonts w:hint="eastAsia" w:ascii="宋体" w:hAnsi="宋体" w:cs="Arial"/>
                <w:b w:val="0"/>
                <w:bCs w:val="0"/>
                <w:sz w:val="24"/>
                <w:szCs w:val="24"/>
                <w:u w:val="single"/>
              </w:rPr>
            </w:pPr>
          </w:p>
        </w:tc>
      </w:tr>
      <w:tr w14:paraId="0CC3701E">
        <w:tblPrEx>
          <w:tblBorders>
            <w:top w:val="double" w:color="auto" w:sz="12" w:space="0"/>
            <w:left w:val="double" w:color="auto" w:sz="12" w:space="0"/>
            <w:bottom w:val="double" w:color="auto" w:sz="12" w:space="0"/>
            <w:right w:val="doub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exact"/>
        </w:trPr>
        <w:tc>
          <w:tcPr>
            <w:tcW w:w="1985" w:type="dxa"/>
            <w:gridSpan w:val="8"/>
            <w:tcBorders>
              <w:top w:val="nil"/>
            </w:tcBorders>
            <w:noWrap w:val="0"/>
            <w:vAlign w:val="top"/>
          </w:tcPr>
          <w:p w14:paraId="6779C692">
            <w:pPr>
              <w:ind w:firstLine="560"/>
              <w:jc w:val="right"/>
              <w:rPr>
                <w:b w:val="0"/>
                <w:bCs w:val="0"/>
              </w:rPr>
            </w:pPr>
          </w:p>
        </w:tc>
      </w:tr>
      <w:tr w14:paraId="089A5113">
        <w:tblPrEx>
          <w:tblBorders>
            <w:top w:val="double" w:color="auto" w:sz="12" w:space="0"/>
            <w:left w:val="double" w:color="auto" w:sz="12" w:space="0"/>
            <w:bottom w:val="double" w:color="auto" w:sz="12" w:space="0"/>
            <w:right w:val="doub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4" w:hRule="exact"/>
        </w:trPr>
        <w:tc>
          <w:tcPr>
            <w:tcW w:w="1985" w:type="dxa"/>
            <w:gridSpan w:val="8"/>
            <w:noWrap w:val="0"/>
            <w:vAlign w:val="top"/>
          </w:tcPr>
          <w:p w14:paraId="6113A670">
            <w:pPr>
              <w:rPr>
                <w:b w:val="0"/>
                <w:bCs w:val="0"/>
              </w:rPr>
            </w:pPr>
          </w:p>
        </w:tc>
      </w:tr>
      <w:tr w14:paraId="30E4DA2B">
        <w:tblPrEx>
          <w:tblBorders>
            <w:top w:val="double" w:color="auto" w:sz="12" w:space="0"/>
            <w:left w:val="double" w:color="auto" w:sz="12" w:space="0"/>
            <w:bottom w:val="double" w:color="auto" w:sz="12" w:space="0"/>
            <w:right w:val="doub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0" w:hRule="atLeast"/>
        </w:trPr>
        <w:tc>
          <w:tcPr>
            <w:tcW w:w="1985" w:type="dxa"/>
            <w:gridSpan w:val="8"/>
            <w:noWrap w:val="0"/>
            <w:vAlign w:val="top"/>
          </w:tcPr>
          <w:p w14:paraId="413D9B87">
            <w:pPr>
              <w:spacing w:line="240" w:lineRule="auto"/>
              <w:jc w:val="center"/>
              <w:rPr>
                <w:rFonts w:hint="eastAsia"/>
                <w:b w:val="0"/>
                <w:bCs w:val="0"/>
                <w:sz w:val="52"/>
                <w:szCs w:val="36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52"/>
                <w:szCs w:val="36"/>
                <w:lang w:val="en-US" w:eastAsia="zh-CN"/>
              </w:rPr>
              <w:t>工业图像智能检测智能体平台</w:t>
            </w:r>
          </w:p>
          <w:p w14:paraId="75F789FA">
            <w:pPr>
              <w:spacing w:line="240" w:lineRule="auto"/>
              <w:jc w:val="center"/>
              <w:rPr>
                <w:rFonts w:hint="default" w:eastAsia="宋体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52"/>
                <w:szCs w:val="36"/>
                <w:lang w:val="en-US" w:eastAsia="zh-CN"/>
              </w:rPr>
              <w:t>建设方案</w:t>
            </w:r>
          </w:p>
        </w:tc>
      </w:tr>
      <w:tr w14:paraId="22EDE471">
        <w:tblPrEx>
          <w:tblBorders>
            <w:top w:val="double" w:color="auto" w:sz="12" w:space="0"/>
            <w:left w:val="double" w:color="auto" w:sz="12" w:space="0"/>
            <w:bottom w:val="double" w:color="auto" w:sz="12" w:space="0"/>
            <w:right w:val="doub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7" w:hRule="exact"/>
        </w:trPr>
        <w:tc>
          <w:tcPr>
            <w:tcW w:w="1985" w:type="dxa"/>
            <w:gridSpan w:val="8"/>
            <w:noWrap w:val="0"/>
            <w:vAlign w:val="top"/>
          </w:tcPr>
          <w:p w14:paraId="512E8D71">
            <w:pPr>
              <w:rPr>
                <w:b w:val="0"/>
                <w:bCs w:val="0"/>
              </w:rPr>
            </w:pPr>
          </w:p>
        </w:tc>
      </w:tr>
      <w:tr w14:paraId="40D22606">
        <w:tblPrEx>
          <w:tblBorders>
            <w:top w:val="double" w:color="auto" w:sz="12" w:space="0"/>
            <w:left w:val="double" w:color="auto" w:sz="12" w:space="0"/>
            <w:bottom w:val="double" w:color="auto" w:sz="12" w:space="0"/>
            <w:right w:val="doub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4559" w:type="dxa"/>
            <w:noWrap w:val="0"/>
            <w:vAlign w:val="top"/>
          </w:tcPr>
          <w:p w14:paraId="19B69BF2">
            <w:pPr>
              <w:ind w:firstLine="560"/>
              <w:jc w:val="right"/>
              <w:rPr>
                <w:b w:val="0"/>
                <w:bCs w:val="0"/>
                <w:sz w:val="32"/>
                <w:szCs w:val="32"/>
              </w:rPr>
            </w:pPr>
            <w:r>
              <w:rPr>
                <w:rFonts w:hint="eastAsia"/>
                <w:b w:val="0"/>
                <w:bCs w:val="0"/>
                <w:sz w:val="32"/>
                <w:szCs w:val="32"/>
              </w:rPr>
              <w:t>共</w:t>
            </w:r>
          </w:p>
        </w:tc>
        <w:tc>
          <w:tcPr>
            <w:tcW w:w="839" w:type="dxa"/>
            <w:gridSpan w:val="3"/>
            <w:noWrap w:val="0"/>
            <w:vAlign w:val="top"/>
          </w:tcPr>
          <w:p w14:paraId="06753AEA">
            <w:pPr>
              <w:rPr>
                <w:b w:val="0"/>
                <w:bCs w:val="0"/>
              </w:rPr>
            </w:pPr>
          </w:p>
        </w:tc>
        <w:tc>
          <w:tcPr>
            <w:tcW w:w="1985" w:type="dxa"/>
            <w:gridSpan w:val="4"/>
            <w:noWrap w:val="0"/>
            <w:vAlign w:val="top"/>
          </w:tcPr>
          <w:p w14:paraId="617BC811">
            <w:pPr>
              <w:ind w:firstLine="2"/>
              <w:jc w:val="both"/>
              <w:rPr>
                <w:b w:val="0"/>
                <w:bCs w:val="0"/>
                <w:sz w:val="32"/>
                <w:szCs w:val="32"/>
              </w:rPr>
            </w:pPr>
            <w:r>
              <w:rPr>
                <w:rFonts w:hint="eastAsia"/>
                <w:b w:val="0"/>
                <w:bCs w:val="0"/>
                <w:sz w:val="32"/>
                <w:szCs w:val="32"/>
              </w:rPr>
              <w:t>页</w:t>
            </w:r>
          </w:p>
        </w:tc>
      </w:tr>
      <w:tr w14:paraId="5AA8F72E">
        <w:tblPrEx>
          <w:tblBorders>
            <w:top w:val="double" w:color="auto" w:sz="12" w:space="0"/>
            <w:left w:val="double" w:color="auto" w:sz="12" w:space="0"/>
            <w:bottom w:val="double" w:color="auto" w:sz="12" w:space="0"/>
            <w:right w:val="doub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9" w:hRule="exact"/>
        </w:trPr>
        <w:tc>
          <w:tcPr>
            <w:tcW w:w="1985" w:type="dxa"/>
            <w:gridSpan w:val="8"/>
            <w:noWrap w:val="0"/>
            <w:vAlign w:val="top"/>
          </w:tcPr>
          <w:p w14:paraId="2A722DFA">
            <w:pPr>
              <w:ind w:firstLine="560"/>
              <w:jc w:val="right"/>
              <w:rPr>
                <w:b w:val="0"/>
                <w:bCs w:val="0"/>
              </w:rPr>
            </w:pPr>
          </w:p>
        </w:tc>
      </w:tr>
      <w:tr w14:paraId="3C249F6F">
        <w:tblPrEx>
          <w:tblBorders>
            <w:top w:val="double" w:color="auto" w:sz="12" w:space="0"/>
            <w:left w:val="double" w:color="auto" w:sz="12" w:space="0"/>
            <w:bottom w:val="double" w:color="auto" w:sz="12" w:space="0"/>
            <w:right w:val="doub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exact"/>
        </w:trPr>
        <w:tc>
          <w:tcPr>
            <w:tcW w:w="1985" w:type="dxa"/>
            <w:gridSpan w:val="8"/>
            <w:noWrap w:val="0"/>
            <w:vAlign w:val="center"/>
          </w:tcPr>
          <w:p w14:paraId="080DCE50">
            <w:pPr>
              <w:jc w:val="center"/>
              <w:rPr>
                <w:rFonts w:ascii="黑体" w:eastAsia="黑体"/>
                <w:b w:val="0"/>
                <w:bCs w:val="0"/>
                <w:sz w:val="32"/>
              </w:rPr>
            </w:pPr>
          </w:p>
        </w:tc>
      </w:tr>
      <w:tr w14:paraId="545EA3BE">
        <w:tblPrEx>
          <w:tblBorders>
            <w:top w:val="double" w:color="auto" w:sz="12" w:space="0"/>
            <w:left w:val="double" w:color="auto" w:sz="12" w:space="0"/>
            <w:bottom w:val="double" w:color="auto" w:sz="12" w:space="0"/>
            <w:right w:val="doub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4732" w:type="dxa"/>
            <w:gridSpan w:val="2"/>
            <w:tcBorders>
              <w:top w:val="nil"/>
              <w:bottom w:val="nil"/>
            </w:tcBorders>
            <w:noWrap w:val="0"/>
            <w:vAlign w:val="center"/>
          </w:tcPr>
          <w:p w14:paraId="5F84FEC1">
            <w:pPr>
              <w:jc w:val="right"/>
              <w:rPr>
                <w:rFonts w:hint="eastAsia"/>
                <w:b w:val="0"/>
                <w:bCs w:val="0"/>
              </w:rPr>
            </w:pPr>
          </w:p>
        </w:tc>
        <w:tc>
          <w:tcPr>
            <w:tcW w:w="394" w:type="dxa"/>
            <w:tcBorders>
              <w:top w:val="nil"/>
              <w:bottom w:val="nil"/>
            </w:tcBorders>
            <w:noWrap w:val="0"/>
            <w:vAlign w:val="center"/>
          </w:tcPr>
          <w:p w14:paraId="239C587D">
            <w:pPr>
              <w:jc w:val="both"/>
              <w:rPr>
                <w:b w:val="0"/>
                <w:bCs w:val="0"/>
              </w:rPr>
            </w:pPr>
          </w:p>
        </w:tc>
        <w:tc>
          <w:tcPr>
            <w:tcW w:w="394" w:type="dxa"/>
            <w:gridSpan w:val="2"/>
            <w:tcBorders>
              <w:top w:val="nil"/>
              <w:bottom w:val="nil"/>
            </w:tcBorders>
            <w:noWrap w:val="0"/>
            <w:vAlign w:val="center"/>
          </w:tcPr>
          <w:p w14:paraId="073764E9">
            <w:pPr>
              <w:jc w:val="center"/>
              <w:rPr>
                <w:rFonts w:hint="eastAsia"/>
                <w:b w:val="0"/>
                <w:bCs w:val="0"/>
              </w:rPr>
            </w:pPr>
          </w:p>
        </w:tc>
        <w:tc>
          <w:tcPr>
            <w:tcW w:w="1985" w:type="dxa"/>
            <w:gridSpan w:val="3"/>
            <w:tcBorders>
              <w:top w:val="nil"/>
              <w:bottom w:val="nil"/>
            </w:tcBorders>
            <w:noWrap w:val="0"/>
            <w:vAlign w:val="center"/>
          </w:tcPr>
          <w:p w14:paraId="55A3E365">
            <w:pPr>
              <w:jc w:val="both"/>
              <w:rPr>
                <w:b w:val="0"/>
                <w:bCs w:val="0"/>
              </w:rPr>
            </w:pPr>
          </w:p>
        </w:tc>
      </w:tr>
      <w:tr w14:paraId="581B84DC">
        <w:tblPrEx>
          <w:tblBorders>
            <w:top w:val="double" w:color="auto" w:sz="12" w:space="0"/>
            <w:left w:val="double" w:color="auto" w:sz="12" w:space="0"/>
            <w:bottom w:val="double" w:color="auto" w:sz="12" w:space="0"/>
            <w:right w:val="doub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exact"/>
        </w:trPr>
        <w:tc>
          <w:tcPr>
            <w:tcW w:w="1985" w:type="dxa"/>
            <w:gridSpan w:val="8"/>
            <w:tcBorders>
              <w:top w:val="nil"/>
              <w:bottom w:val="double" w:color="auto" w:sz="12" w:space="0"/>
            </w:tcBorders>
            <w:noWrap w:val="0"/>
            <w:vAlign w:val="top"/>
          </w:tcPr>
          <w:p w14:paraId="38D7E938">
            <w:pPr>
              <w:tabs>
                <w:tab w:val="left" w:pos="6135"/>
              </w:tabs>
              <w:ind w:right="-157" w:rightChars="-56"/>
              <w:rPr>
                <w:rFonts w:hint="eastAsia"/>
                <w:b w:val="0"/>
                <w:bCs w:val="0"/>
              </w:rPr>
            </w:pPr>
          </w:p>
        </w:tc>
      </w:tr>
    </w:tbl>
    <w:p w14:paraId="237813FB">
      <w:pPr>
        <w:spacing w:before="40"/>
        <w:ind w:right="23"/>
        <w:jc w:val="center"/>
        <w:rPr>
          <w:b w:val="0"/>
          <w:bCs w:val="0"/>
        </w:rPr>
        <w:sectPr>
          <w:headerReference r:id="rId5" w:type="default"/>
          <w:type w:val="continuous"/>
          <w:pgSz w:w="11906" w:h="16838"/>
          <w:pgMar w:top="567" w:right="567" w:bottom="567" w:left="1418" w:header="567" w:footer="56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6C052B10">
      <w:pPr>
        <w:jc w:val="right"/>
        <w:rPr>
          <w:b w:val="0"/>
          <w:bCs w:val="0"/>
          <w:color w:val="FFFFFF"/>
          <w:sz w:val="10"/>
        </w:rPr>
      </w:pPr>
    </w:p>
    <w:tbl>
      <w:tblPr>
        <w:tblStyle w:val="27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1"/>
        <w:gridCol w:w="4029"/>
        <w:gridCol w:w="4170"/>
      </w:tblGrid>
      <w:tr w14:paraId="2D568A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3" w:hRule="atLeast"/>
        </w:trPr>
        <w:tc>
          <w:tcPr>
            <w:tcW w:w="1701" w:type="dxa"/>
            <w:tcBorders>
              <w:top w:val="single" w:color="auto" w:sz="12" w:space="0"/>
              <w:bottom w:val="nil"/>
              <w:right w:val="single" w:color="auto" w:sz="4" w:space="0"/>
            </w:tcBorders>
            <w:noWrap w:val="0"/>
            <w:vAlign w:val="center"/>
          </w:tcPr>
          <w:p w14:paraId="5D422048">
            <w:pPr>
              <w:spacing w:line="240" w:lineRule="auto"/>
              <w:jc w:val="center"/>
              <w:rPr>
                <w:rFonts w:hint="eastAsia" w:hAnsi="宋体"/>
                <w:b w:val="0"/>
                <w:bCs w:val="0"/>
              </w:rPr>
            </w:pPr>
            <w:r>
              <w:rPr>
                <w:rFonts w:hint="eastAsia" w:hAnsi="宋体"/>
                <w:b w:val="0"/>
                <w:bCs w:val="0"/>
              </w:rPr>
              <w:t>军事代表室</w:t>
            </w:r>
          </w:p>
        </w:tc>
        <w:tc>
          <w:tcPr>
            <w:tcW w:w="8199" w:type="dxa"/>
            <w:gridSpan w:val="2"/>
            <w:tcBorders>
              <w:top w:val="single" w:color="auto" w:sz="12" w:space="0"/>
              <w:left w:val="single" w:color="auto" w:sz="4" w:space="0"/>
            </w:tcBorders>
            <w:noWrap w:val="0"/>
            <w:vAlign w:val="center"/>
          </w:tcPr>
          <w:p w14:paraId="7FD969BD">
            <w:pPr>
              <w:spacing w:before="156" w:beforeLines="50" w:after="156" w:afterLines="50"/>
              <w:ind w:firstLine="280" w:firstLineChars="100"/>
              <w:jc w:val="both"/>
              <w:rPr>
                <w:rFonts w:hint="eastAsia" w:hAnsi="宋体"/>
                <w:b w:val="0"/>
                <w:bCs w:val="0"/>
              </w:rPr>
            </w:pPr>
            <w:bookmarkStart w:id="2" w:name="PDML军事代表室0"/>
            <w:r>
              <w:rPr>
                <w:rFonts w:hint="eastAsia" w:hAnsi="宋体"/>
                <w:b w:val="0"/>
                <w:bCs w:val="0"/>
              </w:rPr>
              <w:t xml:space="preserve"> </w:t>
            </w:r>
            <w:bookmarkEnd w:id="2"/>
          </w:p>
        </w:tc>
      </w:tr>
      <w:tr w14:paraId="3A72E8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exact"/>
        </w:trPr>
        <w:tc>
          <w:tcPr>
            <w:tcW w:w="1701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E480716">
            <w:pPr>
              <w:spacing w:before="120"/>
              <w:jc w:val="center"/>
              <w:rPr>
                <w:rFonts w:hint="eastAsia" w:hAnsi="宋体"/>
                <w:b w:val="0"/>
                <w:bCs w:val="0"/>
              </w:rPr>
            </w:pPr>
            <w:r>
              <w:rPr>
                <w:rFonts w:hint="eastAsia" w:hAnsi="宋体"/>
                <w:b w:val="0"/>
                <w:bCs w:val="0"/>
              </w:rPr>
              <w:t>批    准</w:t>
            </w:r>
          </w:p>
        </w:tc>
        <w:tc>
          <w:tcPr>
            <w:tcW w:w="8199" w:type="dxa"/>
            <w:gridSpan w:val="2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6790FA39">
            <w:pPr>
              <w:spacing w:before="120"/>
              <w:ind w:firstLine="280" w:firstLineChars="100"/>
              <w:jc w:val="both"/>
              <w:rPr>
                <w:rFonts w:hint="eastAsia" w:hAnsi="宋体"/>
                <w:b w:val="0"/>
                <w:bCs w:val="0"/>
                <w:szCs w:val="28"/>
              </w:rPr>
            </w:pPr>
            <w:bookmarkStart w:id="3" w:name="PDML批准0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3"/>
            <w:bookmarkStart w:id="4" w:name="PDML批准0AppDate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4"/>
          </w:p>
        </w:tc>
      </w:tr>
      <w:tr w14:paraId="1A26C0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exact"/>
        </w:trPr>
        <w:tc>
          <w:tcPr>
            <w:tcW w:w="1701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B4C879D">
            <w:pPr>
              <w:spacing w:before="120"/>
              <w:jc w:val="center"/>
              <w:rPr>
                <w:rFonts w:hint="eastAsia" w:hAnsi="宋体"/>
                <w:b w:val="0"/>
                <w:bCs w:val="0"/>
              </w:rPr>
            </w:pPr>
            <w:r>
              <w:rPr>
                <w:rFonts w:hint="eastAsia" w:hAnsi="宋体"/>
                <w:b w:val="0"/>
                <w:bCs w:val="0"/>
                <w:spacing w:val="0"/>
                <w:kern w:val="0"/>
                <w:fitText w:val="1120" w:id="-2091144960"/>
              </w:rPr>
              <w:t>质量复核</w:t>
            </w:r>
          </w:p>
        </w:tc>
        <w:tc>
          <w:tcPr>
            <w:tcW w:w="8199" w:type="dxa"/>
            <w:gridSpan w:val="2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5D87722E">
            <w:pPr>
              <w:spacing w:before="120"/>
              <w:ind w:firstLine="280" w:firstLineChars="100"/>
              <w:jc w:val="both"/>
              <w:rPr>
                <w:rFonts w:hint="eastAsia" w:hAnsi="宋体"/>
                <w:b w:val="0"/>
                <w:bCs w:val="0"/>
                <w:szCs w:val="28"/>
              </w:rPr>
            </w:pPr>
            <w:bookmarkStart w:id="5" w:name="PDML质量复核0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5"/>
            <w:bookmarkStart w:id="6" w:name="PDML质量复核0AppDate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6"/>
          </w:p>
        </w:tc>
      </w:tr>
      <w:tr w14:paraId="7938E1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exact"/>
        </w:trPr>
        <w:tc>
          <w:tcPr>
            <w:tcW w:w="1701" w:type="dxa"/>
            <w:tcBorders>
              <w:top w:val="single" w:color="auto" w:sz="6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A53D49">
            <w:pPr>
              <w:spacing w:before="120"/>
              <w:jc w:val="center"/>
              <w:rPr>
                <w:rFonts w:hint="eastAsia" w:hAnsi="宋体"/>
                <w:b w:val="0"/>
                <w:bCs w:val="0"/>
              </w:rPr>
            </w:pPr>
            <w:r>
              <w:rPr>
                <w:rFonts w:hint="eastAsia" w:hAnsi="宋体"/>
                <w:b w:val="0"/>
                <w:bCs w:val="0"/>
              </w:rPr>
              <w:t>复    核</w:t>
            </w:r>
          </w:p>
        </w:tc>
        <w:tc>
          <w:tcPr>
            <w:tcW w:w="8199" w:type="dxa"/>
            <w:gridSpan w:val="2"/>
            <w:tcBorders>
              <w:top w:val="single" w:color="auto" w:sz="6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D826C7E">
            <w:pPr>
              <w:spacing w:before="120"/>
              <w:ind w:firstLine="280" w:firstLineChars="100"/>
              <w:jc w:val="both"/>
              <w:rPr>
                <w:rFonts w:hint="eastAsia" w:hAnsi="宋体"/>
                <w:b w:val="0"/>
                <w:bCs w:val="0"/>
                <w:szCs w:val="28"/>
              </w:rPr>
            </w:pPr>
            <w:bookmarkStart w:id="7" w:name="PDML复核0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7"/>
            <w:bookmarkStart w:id="8" w:name="PDML复核0AppDate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8"/>
          </w:p>
        </w:tc>
      </w:tr>
      <w:tr w14:paraId="14B16F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exact"/>
        </w:trPr>
        <w:tc>
          <w:tcPr>
            <w:tcW w:w="1701" w:type="dxa"/>
            <w:vMerge w:val="restart"/>
            <w:tcBorders>
              <w:top w:val="single" w:color="auto" w:sz="4" w:space="0"/>
              <w:right w:val="single" w:color="auto" w:sz="4" w:space="0"/>
            </w:tcBorders>
            <w:noWrap w:val="0"/>
            <w:vAlign w:val="center"/>
          </w:tcPr>
          <w:p w14:paraId="00C06CED">
            <w:pPr>
              <w:spacing w:line="240" w:lineRule="auto"/>
              <w:jc w:val="center"/>
              <w:rPr>
                <w:rFonts w:hint="eastAsia" w:hAnsi="宋体"/>
                <w:b w:val="0"/>
                <w:bCs w:val="0"/>
                <w:szCs w:val="28"/>
              </w:rPr>
            </w:pPr>
            <w:r>
              <w:rPr>
                <w:rFonts w:hint="eastAsia" w:hAnsi="宋体"/>
                <w:b w:val="0"/>
                <w:bCs w:val="0"/>
                <w:szCs w:val="28"/>
              </w:rPr>
              <w:t>会    签</w:t>
            </w:r>
          </w:p>
        </w:tc>
        <w:tc>
          <w:tcPr>
            <w:tcW w:w="4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D7D4B7C">
            <w:pPr>
              <w:spacing w:before="120"/>
              <w:ind w:firstLine="280" w:firstLineChars="100"/>
              <w:rPr>
                <w:rFonts w:hint="eastAsia" w:hAnsi="宋体"/>
                <w:b w:val="0"/>
                <w:bCs w:val="0"/>
                <w:szCs w:val="28"/>
              </w:rPr>
            </w:pPr>
            <w:bookmarkStart w:id="9" w:name="PDML会签0GroupName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9"/>
            <w:bookmarkStart w:id="10" w:name="PDML会签0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10"/>
            <w:bookmarkStart w:id="11" w:name="PDML会签0AppDate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11"/>
          </w:p>
        </w:tc>
        <w:tc>
          <w:tcPr>
            <w:tcW w:w="4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0496B89E">
            <w:pPr>
              <w:spacing w:before="120"/>
              <w:ind w:firstLine="280" w:firstLineChars="100"/>
              <w:rPr>
                <w:rFonts w:hint="eastAsia" w:hAnsi="宋体"/>
                <w:b w:val="0"/>
                <w:bCs w:val="0"/>
                <w:szCs w:val="28"/>
              </w:rPr>
            </w:pPr>
            <w:bookmarkStart w:id="12" w:name="PDML会签1GroupName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12"/>
            <w:bookmarkStart w:id="13" w:name="PDML会签1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13"/>
            <w:bookmarkStart w:id="14" w:name="PDML会签1AppDate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14"/>
          </w:p>
        </w:tc>
      </w:tr>
      <w:tr w14:paraId="2EA431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exact"/>
        </w:trPr>
        <w:tc>
          <w:tcPr>
            <w:tcW w:w="1701" w:type="dxa"/>
            <w:vMerge w:val="continue"/>
            <w:tcBorders>
              <w:right w:val="single" w:color="auto" w:sz="4" w:space="0"/>
            </w:tcBorders>
            <w:noWrap w:val="0"/>
            <w:vAlign w:val="top"/>
          </w:tcPr>
          <w:p w14:paraId="73F9FC90">
            <w:pPr>
              <w:spacing w:before="120"/>
              <w:ind w:firstLine="280" w:firstLineChars="100"/>
              <w:rPr>
                <w:rFonts w:hAnsi="宋体"/>
                <w:b w:val="0"/>
                <w:bCs w:val="0"/>
                <w:szCs w:val="28"/>
              </w:rPr>
            </w:pPr>
          </w:p>
        </w:tc>
        <w:tc>
          <w:tcPr>
            <w:tcW w:w="4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3FDC2A6">
            <w:pPr>
              <w:spacing w:before="120"/>
              <w:ind w:firstLine="280" w:firstLineChars="100"/>
              <w:rPr>
                <w:rFonts w:hAnsi="宋体"/>
                <w:b w:val="0"/>
                <w:bCs w:val="0"/>
                <w:szCs w:val="28"/>
              </w:rPr>
            </w:pPr>
            <w:bookmarkStart w:id="15" w:name="PDML会签2GroupName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15"/>
            <w:bookmarkStart w:id="16" w:name="PDML会签2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16"/>
            <w:bookmarkStart w:id="17" w:name="PDML会签2AppDate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17"/>
          </w:p>
        </w:tc>
        <w:tc>
          <w:tcPr>
            <w:tcW w:w="4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5C5A0381">
            <w:pPr>
              <w:spacing w:before="120"/>
              <w:ind w:firstLine="280" w:firstLineChars="100"/>
              <w:rPr>
                <w:rFonts w:hAnsi="宋体"/>
                <w:b w:val="0"/>
                <w:bCs w:val="0"/>
                <w:szCs w:val="28"/>
              </w:rPr>
            </w:pPr>
            <w:bookmarkStart w:id="18" w:name="PDML会签3GroupName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18"/>
            <w:bookmarkStart w:id="19" w:name="PDML会签3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19"/>
            <w:bookmarkStart w:id="20" w:name="PDML会签3AppDate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20"/>
          </w:p>
        </w:tc>
      </w:tr>
      <w:tr w14:paraId="49F828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exact"/>
        </w:trPr>
        <w:tc>
          <w:tcPr>
            <w:tcW w:w="1701" w:type="dxa"/>
            <w:vMerge w:val="continue"/>
            <w:tcBorders>
              <w:right w:val="single" w:color="auto" w:sz="4" w:space="0"/>
            </w:tcBorders>
            <w:noWrap w:val="0"/>
            <w:vAlign w:val="top"/>
          </w:tcPr>
          <w:p w14:paraId="5D6AF389">
            <w:pPr>
              <w:spacing w:before="120"/>
              <w:ind w:firstLine="280" w:firstLineChars="100"/>
              <w:rPr>
                <w:rFonts w:hAnsi="宋体"/>
                <w:b w:val="0"/>
                <w:bCs w:val="0"/>
                <w:szCs w:val="28"/>
              </w:rPr>
            </w:pPr>
          </w:p>
        </w:tc>
        <w:tc>
          <w:tcPr>
            <w:tcW w:w="4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FCD201B">
            <w:pPr>
              <w:spacing w:before="120"/>
              <w:ind w:firstLine="280" w:firstLineChars="100"/>
              <w:rPr>
                <w:rFonts w:hAnsi="宋体"/>
                <w:b w:val="0"/>
                <w:bCs w:val="0"/>
                <w:szCs w:val="28"/>
              </w:rPr>
            </w:pPr>
            <w:bookmarkStart w:id="21" w:name="PDML会签4GroupName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21"/>
            <w:bookmarkStart w:id="22" w:name="PDML会签4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22"/>
            <w:bookmarkStart w:id="23" w:name="PDML会签4AppDate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23"/>
          </w:p>
        </w:tc>
        <w:tc>
          <w:tcPr>
            <w:tcW w:w="4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3B56B547">
            <w:pPr>
              <w:spacing w:before="120"/>
              <w:ind w:firstLine="280" w:firstLineChars="100"/>
              <w:rPr>
                <w:rFonts w:hAnsi="宋体"/>
                <w:b w:val="0"/>
                <w:bCs w:val="0"/>
                <w:szCs w:val="28"/>
              </w:rPr>
            </w:pPr>
            <w:bookmarkStart w:id="24" w:name="PDML会签5GroupName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24"/>
            <w:bookmarkStart w:id="25" w:name="PDML会签5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25"/>
            <w:bookmarkStart w:id="26" w:name="PDML会签5AppDate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26"/>
          </w:p>
        </w:tc>
      </w:tr>
      <w:tr w14:paraId="37D2F8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exact"/>
        </w:trPr>
        <w:tc>
          <w:tcPr>
            <w:tcW w:w="1701" w:type="dxa"/>
            <w:vMerge w:val="continue"/>
            <w:tcBorders>
              <w:right w:val="single" w:color="auto" w:sz="4" w:space="0"/>
            </w:tcBorders>
            <w:noWrap w:val="0"/>
            <w:vAlign w:val="top"/>
          </w:tcPr>
          <w:p w14:paraId="379573D4">
            <w:pPr>
              <w:spacing w:before="120"/>
              <w:ind w:firstLine="280" w:firstLineChars="100"/>
              <w:rPr>
                <w:rFonts w:hAnsi="宋体"/>
                <w:b w:val="0"/>
                <w:bCs w:val="0"/>
                <w:szCs w:val="28"/>
              </w:rPr>
            </w:pPr>
          </w:p>
        </w:tc>
        <w:tc>
          <w:tcPr>
            <w:tcW w:w="4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1F7D137">
            <w:pPr>
              <w:spacing w:before="120"/>
              <w:ind w:firstLine="280" w:firstLineChars="100"/>
              <w:rPr>
                <w:rFonts w:hAnsi="宋体"/>
                <w:b w:val="0"/>
                <w:bCs w:val="0"/>
                <w:szCs w:val="28"/>
              </w:rPr>
            </w:pPr>
            <w:bookmarkStart w:id="27" w:name="PDML会签6GroupName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27"/>
            <w:bookmarkStart w:id="28" w:name="PDML会签6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28"/>
            <w:bookmarkStart w:id="29" w:name="PDML会签6AppDate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29"/>
          </w:p>
        </w:tc>
        <w:tc>
          <w:tcPr>
            <w:tcW w:w="4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1A471FD4">
            <w:pPr>
              <w:spacing w:before="120"/>
              <w:ind w:firstLine="280" w:firstLineChars="100"/>
              <w:rPr>
                <w:rFonts w:hAnsi="宋体"/>
                <w:b w:val="0"/>
                <w:bCs w:val="0"/>
                <w:szCs w:val="28"/>
              </w:rPr>
            </w:pPr>
            <w:bookmarkStart w:id="30" w:name="PDML会签7GroupName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30"/>
            <w:bookmarkStart w:id="31" w:name="PDML会签7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31"/>
            <w:bookmarkStart w:id="32" w:name="PDML会签7AppDate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32"/>
          </w:p>
        </w:tc>
      </w:tr>
      <w:tr w14:paraId="021FF3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exact"/>
        </w:trPr>
        <w:tc>
          <w:tcPr>
            <w:tcW w:w="1701" w:type="dxa"/>
            <w:vMerge w:val="continue"/>
            <w:tcBorders>
              <w:right w:val="single" w:color="auto" w:sz="4" w:space="0"/>
            </w:tcBorders>
            <w:noWrap w:val="0"/>
            <w:vAlign w:val="top"/>
          </w:tcPr>
          <w:p w14:paraId="37795E1E">
            <w:pPr>
              <w:spacing w:before="120"/>
              <w:ind w:firstLine="280" w:firstLineChars="100"/>
              <w:rPr>
                <w:rFonts w:hAnsi="宋体"/>
                <w:b w:val="0"/>
                <w:bCs w:val="0"/>
                <w:szCs w:val="28"/>
              </w:rPr>
            </w:pPr>
          </w:p>
        </w:tc>
        <w:tc>
          <w:tcPr>
            <w:tcW w:w="4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DC01BDF">
            <w:pPr>
              <w:spacing w:before="120"/>
              <w:ind w:firstLine="280" w:firstLineChars="100"/>
              <w:rPr>
                <w:rFonts w:hAnsi="宋体"/>
                <w:b w:val="0"/>
                <w:bCs w:val="0"/>
                <w:szCs w:val="28"/>
              </w:rPr>
            </w:pPr>
            <w:bookmarkStart w:id="33" w:name="PDML会签8GroupName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33"/>
            <w:bookmarkStart w:id="34" w:name="PDML会签8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34"/>
            <w:bookmarkStart w:id="35" w:name="PDML会签8AppDate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35"/>
          </w:p>
        </w:tc>
        <w:tc>
          <w:tcPr>
            <w:tcW w:w="4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6630F437">
            <w:pPr>
              <w:spacing w:before="120"/>
              <w:ind w:firstLine="280" w:firstLineChars="100"/>
              <w:rPr>
                <w:rFonts w:hAnsi="宋体"/>
                <w:b w:val="0"/>
                <w:bCs w:val="0"/>
                <w:szCs w:val="28"/>
              </w:rPr>
            </w:pPr>
            <w:bookmarkStart w:id="36" w:name="PDML会签9GroupName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36"/>
            <w:bookmarkStart w:id="37" w:name="PDML会签9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37"/>
            <w:bookmarkStart w:id="38" w:name="PDML会签9AppDate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38"/>
          </w:p>
        </w:tc>
      </w:tr>
      <w:tr w14:paraId="0D4E6F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exact"/>
        </w:trPr>
        <w:tc>
          <w:tcPr>
            <w:tcW w:w="1701" w:type="dxa"/>
            <w:vMerge w:val="continue"/>
            <w:tcBorders>
              <w:right w:val="single" w:color="auto" w:sz="4" w:space="0"/>
            </w:tcBorders>
            <w:noWrap w:val="0"/>
            <w:vAlign w:val="top"/>
          </w:tcPr>
          <w:p w14:paraId="7333C071">
            <w:pPr>
              <w:spacing w:before="120"/>
              <w:ind w:firstLine="280" w:firstLineChars="100"/>
              <w:rPr>
                <w:rFonts w:hint="eastAsia" w:hAnsi="宋体"/>
                <w:b w:val="0"/>
                <w:bCs w:val="0"/>
                <w:szCs w:val="28"/>
              </w:rPr>
            </w:pPr>
          </w:p>
        </w:tc>
        <w:tc>
          <w:tcPr>
            <w:tcW w:w="4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535E880">
            <w:pPr>
              <w:spacing w:before="120"/>
              <w:ind w:firstLine="280" w:firstLineChars="100"/>
              <w:rPr>
                <w:rFonts w:hint="eastAsia" w:hAnsi="宋体"/>
                <w:b w:val="0"/>
                <w:bCs w:val="0"/>
                <w:szCs w:val="28"/>
              </w:rPr>
            </w:pPr>
            <w:bookmarkStart w:id="39" w:name="PDML会签10GroupName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39"/>
            <w:bookmarkStart w:id="40" w:name="PDML会签10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40"/>
            <w:bookmarkStart w:id="41" w:name="PDML会签10AppDate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41"/>
          </w:p>
        </w:tc>
        <w:tc>
          <w:tcPr>
            <w:tcW w:w="4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3EDC8FB8">
            <w:pPr>
              <w:spacing w:before="120"/>
              <w:ind w:firstLine="280" w:firstLineChars="100"/>
              <w:rPr>
                <w:rFonts w:hint="eastAsia" w:hAnsi="宋体"/>
                <w:b w:val="0"/>
                <w:bCs w:val="0"/>
                <w:szCs w:val="28"/>
              </w:rPr>
            </w:pPr>
            <w:bookmarkStart w:id="42" w:name="PDML会签11GroupName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42"/>
            <w:bookmarkStart w:id="43" w:name="PDML会签11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43"/>
            <w:bookmarkStart w:id="44" w:name="PDML会签11AppDate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44"/>
          </w:p>
        </w:tc>
      </w:tr>
      <w:tr w14:paraId="795250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exact"/>
        </w:trPr>
        <w:tc>
          <w:tcPr>
            <w:tcW w:w="1701" w:type="dxa"/>
            <w:vMerge w:val="continue"/>
            <w:tcBorders>
              <w:bottom w:val="single" w:color="auto" w:sz="6" w:space="0"/>
              <w:right w:val="single" w:color="auto" w:sz="4" w:space="0"/>
            </w:tcBorders>
            <w:noWrap w:val="0"/>
            <w:vAlign w:val="top"/>
          </w:tcPr>
          <w:p w14:paraId="5BD30BB9">
            <w:pPr>
              <w:spacing w:before="120"/>
              <w:ind w:firstLine="280" w:firstLineChars="100"/>
              <w:rPr>
                <w:rFonts w:hint="eastAsia" w:hAnsi="宋体"/>
                <w:b w:val="0"/>
                <w:bCs w:val="0"/>
                <w:szCs w:val="28"/>
              </w:rPr>
            </w:pPr>
          </w:p>
        </w:tc>
        <w:tc>
          <w:tcPr>
            <w:tcW w:w="4029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top"/>
          </w:tcPr>
          <w:p w14:paraId="0AA69B27">
            <w:pPr>
              <w:spacing w:before="120"/>
              <w:ind w:firstLine="280" w:firstLineChars="100"/>
              <w:rPr>
                <w:rFonts w:hint="eastAsia" w:hAnsi="宋体"/>
                <w:b w:val="0"/>
                <w:bCs w:val="0"/>
                <w:szCs w:val="28"/>
              </w:rPr>
            </w:pPr>
            <w:bookmarkStart w:id="45" w:name="PDML会签12GroupName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45"/>
            <w:bookmarkStart w:id="46" w:name="PDML会签12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46"/>
            <w:bookmarkStart w:id="47" w:name="PDML会签12AppDate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47"/>
          </w:p>
        </w:tc>
        <w:tc>
          <w:tcPr>
            <w:tcW w:w="4170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</w:tcBorders>
            <w:noWrap w:val="0"/>
            <w:vAlign w:val="top"/>
          </w:tcPr>
          <w:p w14:paraId="2AF2843C">
            <w:pPr>
              <w:spacing w:before="120"/>
              <w:ind w:firstLine="280" w:firstLineChars="100"/>
              <w:rPr>
                <w:rFonts w:hint="eastAsia" w:hAnsi="宋体"/>
                <w:b w:val="0"/>
                <w:bCs w:val="0"/>
                <w:szCs w:val="28"/>
              </w:rPr>
            </w:pPr>
            <w:bookmarkStart w:id="48" w:name="PDML会签13GroupName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48"/>
            <w:bookmarkStart w:id="49" w:name="PDML会签13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49"/>
            <w:bookmarkStart w:id="50" w:name="PDML会签13AppDate"/>
          </w:p>
          <w:p w14:paraId="27EC118C">
            <w:pPr>
              <w:spacing w:before="120"/>
              <w:ind w:firstLine="280" w:firstLineChars="100"/>
              <w:rPr>
                <w:rFonts w:hint="eastAsia" w:hAnsi="宋体"/>
                <w:b w:val="0"/>
                <w:bCs w:val="0"/>
                <w:szCs w:val="28"/>
              </w:rPr>
            </w:pPr>
          </w:p>
          <w:p w14:paraId="39DA9DAF">
            <w:pPr>
              <w:spacing w:before="120"/>
              <w:ind w:firstLine="280" w:firstLineChars="100"/>
              <w:rPr>
                <w:rFonts w:hint="eastAsia" w:hAnsi="宋体"/>
                <w:b w:val="0"/>
                <w:bCs w:val="0"/>
                <w:szCs w:val="28"/>
              </w:rPr>
            </w:pPr>
          </w:p>
          <w:p w14:paraId="51936BFF">
            <w:pPr>
              <w:spacing w:before="120"/>
              <w:ind w:firstLine="280" w:firstLineChars="100"/>
              <w:rPr>
                <w:rFonts w:hint="eastAsia" w:hAnsi="宋体"/>
                <w:b w:val="0"/>
                <w:bCs w:val="0"/>
                <w:szCs w:val="28"/>
              </w:rPr>
            </w:pPr>
          </w:p>
          <w:p w14:paraId="0D85F0C4">
            <w:pPr>
              <w:spacing w:before="120"/>
              <w:ind w:firstLine="280" w:firstLineChars="100"/>
              <w:rPr>
                <w:rFonts w:hint="eastAsia" w:hAnsi="宋体"/>
                <w:b w:val="0"/>
                <w:bCs w:val="0"/>
                <w:szCs w:val="28"/>
              </w:rPr>
            </w:pPr>
          </w:p>
          <w:p w14:paraId="14C089CE">
            <w:pPr>
              <w:spacing w:before="120"/>
              <w:ind w:firstLine="280" w:firstLineChars="100"/>
              <w:rPr>
                <w:rFonts w:hint="eastAsia" w:hAnsi="宋体"/>
                <w:b w:val="0"/>
                <w:bCs w:val="0"/>
                <w:szCs w:val="28"/>
              </w:rPr>
            </w:pPr>
          </w:p>
          <w:p w14:paraId="69939036">
            <w:pPr>
              <w:spacing w:before="120"/>
              <w:ind w:firstLine="280" w:firstLineChars="100"/>
              <w:rPr>
                <w:rFonts w:hint="eastAsia" w:hAnsi="宋体"/>
                <w:b w:val="0"/>
                <w:bCs w:val="0"/>
                <w:szCs w:val="28"/>
              </w:rPr>
            </w:pPr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50"/>
          </w:p>
        </w:tc>
      </w:tr>
      <w:tr w14:paraId="48D60F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exact"/>
        </w:trPr>
        <w:tc>
          <w:tcPr>
            <w:tcW w:w="1701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6B8AF2C">
            <w:pPr>
              <w:spacing w:before="120"/>
              <w:jc w:val="center"/>
              <w:rPr>
                <w:rFonts w:hint="eastAsia" w:hAnsi="宋体"/>
                <w:b w:val="0"/>
                <w:bCs w:val="0"/>
                <w:szCs w:val="28"/>
              </w:rPr>
            </w:pPr>
            <w:r>
              <w:rPr>
                <w:rFonts w:hint="eastAsia" w:hAnsi="宋体"/>
                <w:b w:val="0"/>
                <w:bCs w:val="0"/>
                <w:szCs w:val="28"/>
              </w:rPr>
              <w:t>审</w:t>
            </w:r>
            <w:r>
              <w:rPr>
                <w:rFonts w:hint="eastAsia" w:hAnsi="宋体"/>
                <w:b w:val="0"/>
                <w:bCs w:val="0"/>
              </w:rPr>
              <w:t xml:space="preserve">    </w:t>
            </w:r>
            <w:r>
              <w:rPr>
                <w:rFonts w:hint="eastAsia" w:hAnsi="宋体"/>
                <w:b w:val="0"/>
                <w:bCs w:val="0"/>
                <w:szCs w:val="28"/>
              </w:rPr>
              <w:t>定</w:t>
            </w:r>
          </w:p>
        </w:tc>
        <w:tc>
          <w:tcPr>
            <w:tcW w:w="8199" w:type="dxa"/>
            <w:gridSpan w:val="2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4DAFC8DA">
            <w:pPr>
              <w:spacing w:before="120"/>
              <w:ind w:firstLine="280" w:firstLineChars="100"/>
              <w:jc w:val="both"/>
              <w:rPr>
                <w:rFonts w:hint="eastAsia" w:hAnsi="宋体"/>
                <w:b w:val="0"/>
                <w:bCs w:val="0"/>
              </w:rPr>
            </w:pPr>
            <w:bookmarkStart w:id="51" w:name="PDML审定0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51"/>
            <w:bookmarkStart w:id="52" w:name="PDML审定0AppDate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52"/>
          </w:p>
        </w:tc>
      </w:tr>
      <w:tr w14:paraId="675D46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exact"/>
        </w:trPr>
        <w:tc>
          <w:tcPr>
            <w:tcW w:w="1701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D15BCEB">
            <w:pPr>
              <w:spacing w:before="120"/>
              <w:jc w:val="center"/>
              <w:rPr>
                <w:rFonts w:hint="eastAsia" w:hAnsi="宋体"/>
                <w:b w:val="0"/>
                <w:bCs w:val="0"/>
                <w:szCs w:val="28"/>
              </w:rPr>
            </w:pPr>
            <w:r>
              <w:rPr>
                <w:rFonts w:hint="eastAsia" w:hAnsi="宋体"/>
                <w:b w:val="0"/>
                <w:bCs w:val="0"/>
                <w:szCs w:val="28"/>
              </w:rPr>
              <w:t>标</w:t>
            </w:r>
            <w:r>
              <w:rPr>
                <w:rFonts w:hint="eastAsia" w:hAnsi="宋体"/>
                <w:b w:val="0"/>
                <w:bCs w:val="0"/>
              </w:rPr>
              <w:t xml:space="preserve">    </w:t>
            </w:r>
            <w:r>
              <w:rPr>
                <w:rFonts w:hint="eastAsia" w:hAnsi="宋体"/>
                <w:b w:val="0"/>
                <w:bCs w:val="0"/>
                <w:szCs w:val="28"/>
              </w:rPr>
              <w:t>检</w:t>
            </w:r>
          </w:p>
        </w:tc>
        <w:tc>
          <w:tcPr>
            <w:tcW w:w="8199" w:type="dxa"/>
            <w:gridSpan w:val="2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36EC2B84">
            <w:pPr>
              <w:spacing w:before="120"/>
              <w:ind w:firstLine="280" w:firstLineChars="100"/>
              <w:jc w:val="both"/>
              <w:rPr>
                <w:rFonts w:hint="eastAsia" w:hAnsi="宋体"/>
                <w:b w:val="0"/>
                <w:bCs w:val="0"/>
              </w:rPr>
            </w:pPr>
            <w:bookmarkStart w:id="53" w:name="PDML标检0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53"/>
            <w:bookmarkStart w:id="54" w:name="PDML标检0AppDate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54"/>
          </w:p>
        </w:tc>
      </w:tr>
      <w:tr w14:paraId="2B86CF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exact"/>
        </w:trPr>
        <w:tc>
          <w:tcPr>
            <w:tcW w:w="1701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DC1BF4A">
            <w:pPr>
              <w:spacing w:before="120"/>
              <w:jc w:val="center"/>
              <w:rPr>
                <w:rFonts w:hint="eastAsia" w:hAnsi="宋体"/>
                <w:b w:val="0"/>
                <w:bCs w:val="0"/>
                <w:szCs w:val="28"/>
              </w:rPr>
            </w:pPr>
            <w:r>
              <w:rPr>
                <w:rFonts w:hint="eastAsia" w:hAnsi="宋体"/>
                <w:b w:val="0"/>
                <w:bCs w:val="0"/>
                <w:szCs w:val="28"/>
              </w:rPr>
              <w:t>校</w:t>
            </w:r>
            <w:r>
              <w:rPr>
                <w:rFonts w:hint="eastAsia" w:hAnsi="宋体"/>
                <w:b w:val="0"/>
                <w:bCs w:val="0"/>
              </w:rPr>
              <w:t xml:space="preserve">    </w:t>
            </w:r>
            <w:r>
              <w:rPr>
                <w:rFonts w:hint="eastAsia" w:hAnsi="宋体"/>
                <w:b w:val="0"/>
                <w:bCs w:val="0"/>
                <w:szCs w:val="28"/>
              </w:rPr>
              <w:t>对</w:t>
            </w:r>
          </w:p>
        </w:tc>
        <w:tc>
          <w:tcPr>
            <w:tcW w:w="8199" w:type="dxa"/>
            <w:gridSpan w:val="2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3F1FCC50">
            <w:pPr>
              <w:spacing w:before="120"/>
              <w:ind w:firstLine="280" w:firstLineChars="100"/>
              <w:jc w:val="both"/>
              <w:rPr>
                <w:rFonts w:hint="eastAsia" w:hAnsi="宋体"/>
                <w:b w:val="0"/>
                <w:bCs w:val="0"/>
              </w:rPr>
            </w:pPr>
            <w:bookmarkStart w:id="55" w:name="PDML校对0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55"/>
            <w:bookmarkStart w:id="56" w:name="PDML校对0AppDate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56"/>
          </w:p>
        </w:tc>
      </w:tr>
      <w:tr w14:paraId="07CEAA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exact"/>
        </w:trPr>
        <w:tc>
          <w:tcPr>
            <w:tcW w:w="1701" w:type="dxa"/>
            <w:tcBorders>
              <w:top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1FC3A30C">
            <w:pPr>
              <w:spacing w:before="120"/>
              <w:jc w:val="center"/>
              <w:rPr>
                <w:rFonts w:hint="eastAsia" w:hAnsi="宋体"/>
                <w:b w:val="0"/>
                <w:bCs w:val="0"/>
                <w:szCs w:val="28"/>
              </w:rPr>
            </w:pPr>
            <w:r>
              <w:rPr>
                <w:rFonts w:hint="eastAsia" w:hAnsi="宋体"/>
                <w:b w:val="0"/>
                <w:bCs w:val="0"/>
                <w:szCs w:val="28"/>
              </w:rPr>
              <w:t>编</w:t>
            </w:r>
            <w:r>
              <w:rPr>
                <w:rFonts w:hint="eastAsia" w:hAnsi="宋体"/>
                <w:b w:val="0"/>
                <w:bCs w:val="0"/>
              </w:rPr>
              <w:t xml:space="preserve">    </w:t>
            </w:r>
            <w:r>
              <w:rPr>
                <w:rFonts w:hint="eastAsia" w:hAnsi="宋体"/>
                <w:b w:val="0"/>
                <w:bCs w:val="0"/>
                <w:szCs w:val="28"/>
              </w:rPr>
              <w:t>制</w:t>
            </w:r>
          </w:p>
        </w:tc>
        <w:tc>
          <w:tcPr>
            <w:tcW w:w="8199" w:type="dxa"/>
            <w:gridSpan w:val="2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7405D3A8">
            <w:pPr>
              <w:spacing w:before="120"/>
              <w:ind w:firstLine="280" w:firstLineChars="100"/>
              <w:jc w:val="both"/>
              <w:rPr>
                <w:rFonts w:hint="eastAsia" w:hAnsi="宋体"/>
                <w:b w:val="0"/>
                <w:bCs w:val="0"/>
              </w:rPr>
            </w:pPr>
            <w:bookmarkStart w:id="57" w:name="PDML编制0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57"/>
            <w:bookmarkStart w:id="58" w:name="PDML编制0AppDate"/>
            <w:r>
              <w:rPr>
                <w:rFonts w:hint="eastAsia" w:hAnsi="宋体"/>
                <w:b w:val="0"/>
                <w:bCs w:val="0"/>
                <w:szCs w:val="28"/>
              </w:rPr>
              <w:t xml:space="preserve"> </w:t>
            </w:r>
            <w:bookmarkEnd w:id="58"/>
          </w:p>
        </w:tc>
      </w:tr>
      <w:tr w14:paraId="50BF41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exact"/>
        </w:trPr>
        <w:tc>
          <w:tcPr>
            <w:tcW w:w="1701" w:type="dxa"/>
            <w:tcBorders>
              <w:top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67E1379">
            <w:pPr>
              <w:spacing w:before="120"/>
              <w:jc w:val="center"/>
              <w:rPr>
                <w:rFonts w:hint="eastAsia" w:hAnsi="宋体"/>
                <w:b w:val="0"/>
                <w:bCs w:val="0"/>
                <w:szCs w:val="28"/>
              </w:rPr>
            </w:pPr>
            <w:r>
              <w:rPr>
                <w:rFonts w:hint="eastAsia" w:hAnsi="宋体"/>
                <w:b w:val="0"/>
                <w:bCs w:val="0"/>
                <w:szCs w:val="28"/>
              </w:rPr>
              <w:t>备    注</w:t>
            </w:r>
          </w:p>
        </w:tc>
        <w:tc>
          <w:tcPr>
            <w:tcW w:w="8199" w:type="dxa"/>
            <w:gridSpan w:val="2"/>
            <w:tcBorders>
              <w:top w:val="single" w:color="auto" w:sz="6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32899B2A">
            <w:pPr>
              <w:spacing w:before="120"/>
              <w:rPr>
                <w:rFonts w:hint="eastAsia" w:hAnsi="宋体"/>
                <w:b w:val="0"/>
                <w:bCs w:val="0"/>
                <w:szCs w:val="28"/>
              </w:rPr>
            </w:pPr>
          </w:p>
        </w:tc>
      </w:tr>
    </w:tbl>
    <w:p w14:paraId="7E61CCF3">
      <w:pPr>
        <w:rPr>
          <w:b w:val="0"/>
          <w:bCs w:val="0"/>
          <w:sz w:val="15"/>
        </w:rPr>
        <w:sectPr>
          <w:headerReference r:id="rId6" w:type="default"/>
          <w:footerReference r:id="rId7" w:type="default"/>
          <w:type w:val="continuous"/>
          <w:pgSz w:w="11906" w:h="16838"/>
          <w:pgMar w:top="567" w:right="567" w:bottom="567" w:left="1418" w:header="567" w:footer="56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0C88A925">
      <w:pPr>
        <w:spacing w:before="156" w:beforeLines="50" w:after="156" w:afterLines="50"/>
        <w:jc w:val="center"/>
        <w:rPr>
          <w:rFonts w:hint="eastAsia" w:ascii="黑体" w:eastAsia="黑体"/>
          <w:b w:val="0"/>
          <w:bCs w:val="0"/>
          <w:sz w:val="24"/>
          <w:szCs w:val="24"/>
        </w:rPr>
      </w:pPr>
      <w:r>
        <w:rPr>
          <w:rFonts w:hint="eastAsia" w:ascii="黑体" w:eastAsia="黑体"/>
          <w:b w:val="0"/>
          <w:bCs w:val="0"/>
          <w:sz w:val="24"/>
          <w:szCs w:val="24"/>
        </w:rPr>
        <w:t>更改记录页</w:t>
      </w:r>
    </w:p>
    <w:tbl>
      <w:tblPr>
        <w:tblStyle w:val="27"/>
        <w:tblW w:w="9741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"/>
        <w:gridCol w:w="2161"/>
        <w:gridCol w:w="1619"/>
        <w:gridCol w:w="1081"/>
        <w:gridCol w:w="1081"/>
        <w:gridCol w:w="1615"/>
        <w:gridCol w:w="1140"/>
        <w:gridCol w:w="8"/>
      </w:tblGrid>
      <w:tr w14:paraId="01296E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tblHeader/>
          <w:jc w:val="center"/>
        </w:trPr>
        <w:tc>
          <w:tcPr>
            <w:tcW w:w="1036" w:type="dxa"/>
            <w:vMerge w:val="restart"/>
            <w:noWrap w:val="0"/>
            <w:vAlign w:val="center"/>
          </w:tcPr>
          <w:p w14:paraId="06DC17F0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  <w:r>
              <w:rPr>
                <w:rFonts w:hint="eastAsia" w:hAnsi="宋体"/>
                <w:b w:val="0"/>
                <w:bCs w:val="0"/>
                <w:szCs w:val="21"/>
              </w:rPr>
              <w:t>序号</w:t>
            </w:r>
          </w:p>
        </w:tc>
        <w:tc>
          <w:tcPr>
            <w:tcW w:w="2161" w:type="dxa"/>
            <w:vMerge w:val="restart"/>
            <w:noWrap w:val="0"/>
            <w:vAlign w:val="center"/>
          </w:tcPr>
          <w:p w14:paraId="66C56BE5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  <w:r>
              <w:rPr>
                <w:rFonts w:hint="eastAsia" w:hAnsi="宋体"/>
                <w:b w:val="0"/>
                <w:bCs w:val="0"/>
                <w:szCs w:val="21"/>
              </w:rPr>
              <w:t>更改单号</w:t>
            </w:r>
          </w:p>
        </w:tc>
        <w:tc>
          <w:tcPr>
            <w:tcW w:w="1619" w:type="dxa"/>
            <w:vMerge w:val="restart"/>
            <w:noWrap w:val="0"/>
            <w:vAlign w:val="center"/>
          </w:tcPr>
          <w:p w14:paraId="38DAA8EB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  <w:r>
              <w:rPr>
                <w:rFonts w:hint="eastAsia" w:hAnsi="宋体"/>
                <w:b w:val="0"/>
                <w:bCs w:val="0"/>
                <w:szCs w:val="21"/>
              </w:rPr>
              <w:t>更改页</w:t>
            </w:r>
          </w:p>
        </w:tc>
        <w:tc>
          <w:tcPr>
            <w:tcW w:w="2162" w:type="dxa"/>
            <w:gridSpan w:val="2"/>
            <w:noWrap w:val="0"/>
            <w:vAlign w:val="center"/>
          </w:tcPr>
          <w:p w14:paraId="4AFF7CA2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  <w:r>
              <w:rPr>
                <w:rFonts w:hint="eastAsia" w:hAnsi="宋体"/>
                <w:b w:val="0"/>
                <w:bCs w:val="0"/>
                <w:szCs w:val="21"/>
              </w:rPr>
              <w:t>版本</w:t>
            </w:r>
          </w:p>
        </w:tc>
        <w:tc>
          <w:tcPr>
            <w:tcW w:w="1615" w:type="dxa"/>
            <w:vMerge w:val="restart"/>
            <w:noWrap w:val="0"/>
            <w:vAlign w:val="center"/>
          </w:tcPr>
          <w:p w14:paraId="379C95E1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  <w:r>
              <w:rPr>
                <w:rFonts w:hint="eastAsia" w:hAnsi="宋体"/>
                <w:b w:val="0"/>
                <w:bCs w:val="0"/>
                <w:szCs w:val="21"/>
              </w:rPr>
              <w:t>更改日期</w:t>
            </w:r>
          </w:p>
        </w:tc>
        <w:tc>
          <w:tcPr>
            <w:tcW w:w="1148" w:type="dxa"/>
            <w:gridSpan w:val="2"/>
            <w:vMerge w:val="restart"/>
            <w:noWrap w:val="0"/>
            <w:vAlign w:val="center"/>
          </w:tcPr>
          <w:p w14:paraId="7505A622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  <w:r>
              <w:rPr>
                <w:rFonts w:hint="eastAsia" w:hAnsi="宋体"/>
                <w:b w:val="0"/>
                <w:bCs w:val="0"/>
                <w:szCs w:val="21"/>
              </w:rPr>
              <w:t>更改者</w:t>
            </w:r>
          </w:p>
        </w:tc>
      </w:tr>
      <w:tr w14:paraId="0178B1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  <w:tblHeader/>
          <w:jc w:val="center"/>
        </w:trPr>
        <w:tc>
          <w:tcPr>
            <w:tcW w:w="1036" w:type="dxa"/>
            <w:vMerge w:val="continue"/>
            <w:noWrap w:val="0"/>
            <w:vAlign w:val="center"/>
          </w:tcPr>
          <w:p w14:paraId="6ECCFC4B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2161" w:type="dxa"/>
            <w:vMerge w:val="continue"/>
            <w:noWrap w:val="0"/>
            <w:vAlign w:val="center"/>
          </w:tcPr>
          <w:p w14:paraId="6D058E75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9" w:type="dxa"/>
            <w:vMerge w:val="continue"/>
            <w:noWrap w:val="0"/>
            <w:vAlign w:val="center"/>
          </w:tcPr>
          <w:p w14:paraId="4979BCBD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0BC8CE92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  <w:r>
              <w:rPr>
                <w:rFonts w:hint="eastAsia" w:hAnsi="宋体"/>
                <w:b w:val="0"/>
                <w:bCs w:val="0"/>
                <w:szCs w:val="21"/>
              </w:rPr>
              <w:t>更改前</w:t>
            </w:r>
          </w:p>
        </w:tc>
        <w:tc>
          <w:tcPr>
            <w:tcW w:w="1081" w:type="dxa"/>
            <w:noWrap w:val="0"/>
            <w:vAlign w:val="center"/>
          </w:tcPr>
          <w:p w14:paraId="5A2A0A20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  <w:r>
              <w:rPr>
                <w:rFonts w:hint="eastAsia" w:hAnsi="宋体"/>
                <w:b w:val="0"/>
                <w:bCs w:val="0"/>
                <w:szCs w:val="21"/>
              </w:rPr>
              <w:t>更改后</w:t>
            </w:r>
          </w:p>
        </w:tc>
        <w:tc>
          <w:tcPr>
            <w:tcW w:w="1615" w:type="dxa"/>
            <w:vMerge w:val="continue"/>
            <w:noWrap w:val="0"/>
            <w:vAlign w:val="center"/>
          </w:tcPr>
          <w:p w14:paraId="21B37504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148" w:type="dxa"/>
            <w:gridSpan w:val="2"/>
            <w:vMerge w:val="continue"/>
            <w:noWrap w:val="0"/>
            <w:vAlign w:val="center"/>
          </w:tcPr>
          <w:p w14:paraId="28F9CCBE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</w:tr>
      <w:tr w14:paraId="6104B5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jc w:val="center"/>
        </w:trPr>
        <w:tc>
          <w:tcPr>
            <w:tcW w:w="1036" w:type="dxa"/>
            <w:noWrap w:val="0"/>
            <w:vAlign w:val="center"/>
          </w:tcPr>
          <w:p w14:paraId="7B139A32">
            <w:pPr>
              <w:rPr>
                <w:b w:val="0"/>
                <w:bCs w:val="0"/>
              </w:rPr>
            </w:pPr>
          </w:p>
        </w:tc>
        <w:tc>
          <w:tcPr>
            <w:tcW w:w="2161" w:type="dxa"/>
            <w:noWrap w:val="0"/>
            <w:vAlign w:val="center"/>
          </w:tcPr>
          <w:p w14:paraId="2DB95E7C">
            <w:pPr>
              <w:rPr>
                <w:b w:val="0"/>
                <w:bCs w:val="0"/>
              </w:rPr>
            </w:pPr>
          </w:p>
        </w:tc>
        <w:tc>
          <w:tcPr>
            <w:tcW w:w="1619" w:type="dxa"/>
            <w:noWrap w:val="0"/>
            <w:vAlign w:val="center"/>
          </w:tcPr>
          <w:p w14:paraId="5730F8A6">
            <w:pPr>
              <w:rPr>
                <w:b w:val="0"/>
                <w:bCs w:val="0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02A30897">
            <w:pPr>
              <w:rPr>
                <w:b w:val="0"/>
                <w:bCs w:val="0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328CD6D2">
            <w:pPr>
              <w:rPr>
                <w:b w:val="0"/>
                <w:bCs w:val="0"/>
              </w:rPr>
            </w:pPr>
          </w:p>
        </w:tc>
        <w:tc>
          <w:tcPr>
            <w:tcW w:w="1615" w:type="dxa"/>
            <w:noWrap w:val="0"/>
            <w:vAlign w:val="center"/>
          </w:tcPr>
          <w:p w14:paraId="0E03DA18">
            <w:pPr>
              <w:rPr>
                <w:b w:val="0"/>
                <w:bCs w:val="0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0F620DD8">
            <w:pPr>
              <w:rPr>
                <w:b w:val="0"/>
                <w:bCs w:val="0"/>
              </w:rPr>
            </w:pPr>
          </w:p>
        </w:tc>
      </w:tr>
      <w:tr w14:paraId="1B5920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jc w:val="center"/>
        </w:trPr>
        <w:tc>
          <w:tcPr>
            <w:tcW w:w="1036" w:type="dxa"/>
            <w:noWrap w:val="0"/>
            <w:vAlign w:val="center"/>
          </w:tcPr>
          <w:p w14:paraId="20AABEBA">
            <w:pPr>
              <w:rPr>
                <w:b w:val="0"/>
                <w:bCs w:val="0"/>
              </w:rPr>
            </w:pPr>
          </w:p>
        </w:tc>
        <w:tc>
          <w:tcPr>
            <w:tcW w:w="2161" w:type="dxa"/>
            <w:noWrap w:val="0"/>
            <w:vAlign w:val="center"/>
          </w:tcPr>
          <w:p w14:paraId="40829777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9" w:type="dxa"/>
            <w:noWrap w:val="0"/>
            <w:vAlign w:val="center"/>
          </w:tcPr>
          <w:p w14:paraId="289D4735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29862A60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441A6EB2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5" w:type="dxa"/>
            <w:noWrap w:val="0"/>
            <w:vAlign w:val="center"/>
          </w:tcPr>
          <w:p w14:paraId="63E5A0C2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765A86BE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</w:tr>
      <w:tr w14:paraId="178621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jc w:val="center"/>
        </w:trPr>
        <w:tc>
          <w:tcPr>
            <w:tcW w:w="1036" w:type="dxa"/>
            <w:noWrap w:val="0"/>
            <w:vAlign w:val="center"/>
          </w:tcPr>
          <w:p w14:paraId="6D700E8B">
            <w:pPr>
              <w:rPr>
                <w:b w:val="0"/>
                <w:bCs w:val="0"/>
              </w:rPr>
            </w:pPr>
          </w:p>
        </w:tc>
        <w:tc>
          <w:tcPr>
            <w:tcW w:w="2161" w:type="dxa"/>
            <w:noWrap w:val="0"/>
            <w:vAlign w:val="center"/>
          </w:tcPr>
          <w:p w14:paraId="4CBF356C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9" w:type="dxa"/>
            <w:noWrap w:val="0"/>
            <w:vAlign w:val="center"/>
          </w:tcPr>
          <w:p w14:paraId="366D0A91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3246FB98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47856C2B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5" w:type="dxa"/>
            <w:noWrap w:val="0"/>
            <w:vAlign w:val="center"/>
          </w:tcPr>
          <w:p w14:paraId="4EDCAF62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029149D4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</w:tr>
      <w:tr w14:paraId="588F5E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jc w:val="center"/>
        </w:trPr>
        <w:tc>
          <w:tcPr>
            <w:tcW w:w="1036" w:type="dxa"/>
            <w:noWrap w:val="0"/>
            <w:vAlign w:val="center"/>
          </w:tcPr>
          <w:p w14:paraId="26EF258C">
            <w:pPr>
              <w:rPr>
                <w:b w:val="0"/>
                <w:bCs w:val="0"/>
              </w:rPr>
            </w:pPr>
          </w:p>
        </w:tc>
        <w:tc>
          <w:tcPr>
            <w:tcW w:w="2161" w:type="dxa"/>
            <w:noWrap w:val="0"/>
            <w:vAlign w:val="center"/>
          </w:tcPr>
          <w:p w14:paraId="2F35BA45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9" w:type="dxa"/>
            <w:noWrap w:val="0"/>
            <w:vAlign w:val="center"/>
          </w:tcPr>
          <w:p w14:paraId="1FDE0666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05F2DF7C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69A6EB82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5" w:type="dxa"/>
            <w:noWrap w:val="0"/>
            <w:vAlign w:val="center"/>
          </w:tcPr>
          <w:p w14:paraId="4F496330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3BA3BE9A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</w:tr>
      <w:tr w14:paraId="53E67C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jc w:val="center"/>
        </w:trPr>
        <w:tc>
          <w:tcPr>
            <w:tcW w:w="1036" w:type="dxa"/>
            <w:noWrap w:val="0"/>
            <w:vAlign w:val="center"/>
          </w:tcPr>
          <w:p w14:paraId="0F563532">
            <w:pPr>
              <w:rPr>
                <w:b w:val="0"/>
                <w:bCs w:val="0"/>
              </w:rPr>
            </w:pPr>
          </w:p>
        </w:tc>
        <w:tc>
          <w:tcPr>
            <w:tcW w:w="2161" w:type="dxa"/>
            <w:noWrap w:val="0"/>
            <w:vAlign w:val="center"/>
          </w:tcPr>
          <w:p w14:paraId="069CF757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9" w:type="dxa"/>
            <w:noWrap w:val="0"/>
            <w:vAlign w:val="center"/>
          </w:tcPr>
          <w:p w14:paraId="77D688EA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35FBBDE4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27C58FBC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5" w:type="dxa"/>
            <w:noWrap w:val="0"/>
            <w:vAlign w:val="center"/>
          </w:tcPr>
          <w:p w14:paraId="6F80D9E8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7C173D51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</w:tr>
      <w:tr w14:paraId="243F3B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jc w:val="center"/>
        </w:trPr>
        <w:tc>
          <w:tcPr>
            <w:tcW w:w="1036" w:type="dxa"/>
            <w:noWrap w:val="0"/>
            <w:vAlign w:val="center"/>
          </w:tcPr>
          <w:p w14:paraId="408FCD63">
            <w:pPr>
              <w:rPr>
                <w:b w:val="0"/>
                <w:bCs w:val="0"/>
              </w:rPr>
            </w:pPr>
          </w:p>
        </w:tc>
        <w:tc>
          <w:tcPr>
            <w:tcW w:w="2161" w:type="dxa"/>
            <w:noWrap w:val="0"/>
            <w:vAlign w:val="center"/>
          </w:tcPr>
          <w:p w14:paraId="234F558C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9" w:type="dxa"/>
            <w:noWrap w:val="0"/>
            <w:vAlign w:val="center"/>
          </w:tcPr>
          <w:p w14:paraId="775EA007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2832D5FF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0359D0B4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5" w:type="dxa"/>
            <w:noWrap w:val="0"/>
            <w:vAlign w:val="center"/>
          </w:tcPr>
          <w:p w14:paraId="00F46F8D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20501B24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</w:tr>
      <w:tr w14:paraId="240B3A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jc w:val="center"/>
        </w:trPr>
        <w:tc>
          <w:tcPr>
            <w:tcW w:w="1036" w:type="dxa"/>
            <w:noWrap w:val="0"/>
            <w:vAlign w:val="center"/>
          </w:tcPr>
          <w:p w14:paraId="051CE8DF">
            <w:pPr>
              <w:rPr>
                <w:b w:val="0"/>
                <w:bCs w:val="0"/>
              </w:rPr>
            </w:pPr>
          </w:p>
        </w:tc>
        <w:tc>
          <w:tcPr>
            <w:tcW w:w="2161" w:type="dxa"/>
            <w:noWrap w:val="0"/>
            <w:vAlign w:val="center"/>
          </w:tcPr>
          <w:p w14:paraId="7635FBB0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9" w:type="dxa"/>
            <w:noWrap w:val="0"/>
            <w:vAlign w:val="center"/>
          </w:tcPr>
          <w:p w14:paraId="280B1D96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343DEADD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23128E1F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5" w:type="dxa"/>
            <w:noWrap w:val="0"/>
            <w:vAlign w:val="center"/>
          </w:tcPr>
          <w:p w14:paraId="6AEDB238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302A97C6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</w:tr>
      <w:tr w14:paraId="6165B1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jc w:val="center"/>
        </w:trPr>
        <w:tc>
          <w:tcPr>
            <w:tcW w:w="1036" w:type="dxa"/>
            <w:noWrap w:val="0"/>
            <w:vAlign w:val="center"/>
          </w:tcPr>
          <w:p w14:paraId="04E92F50">
            <w:pPr>
              <w:rPr>
                <w:b w:val="0"/>
                <w:bCs w:val="0"/>
              </w:rPr>
            </w:pPr>
          </w:p>
        </w:tc>
        <w:tc>
          <w:tcPr>
            <w:tcW w:w="2161" w:type="dxa"/>
            <w:noWrap w:val="0"/>
            <w:vAlign w:val="center"/>
          </w:tcPr>
          <w:p w14:paraId="2820B4D1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9" w:type="dxa"/>
            <w:noWrap w:val="0"/>
            <w:vAlign w:val="center"/>
          </w:tcPr>
          <w:p w14:paraId="3540C6F3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1DC109C7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20C35B8F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5" w:type="dxa"/>
            <w:noWrap w:val="0"/>
            <w:vAlign w:val="center"/>
          </w:tcPr>
          <w:p w14:paraId="4378317A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27F277BA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</w:tr>
      <w:tr w14:paraId="113F0D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jc w:val="center"/>
        </w:trPr>
        <w:tc>
          <w:tcPr>
            <w:tcW w:w="1036" w:type="dxa"/>
            <w:noWrap w:val="0"/>
            <w:vAlign w:val="center"/>
          </w:tcPr>
          <w:p w14:paraId="6AF1F945">
            <w:pPr>
              <w:rPr>
                <w:b w:val="0"/>
                <w:bCs w:val="0"/>
              </w:rPr>
            </w:pPr>
          </w:p>
        </w:tc>
        <w:tc>
          <w:tcPr>
            <w:tcW w:w="2161" w:type="dxa"/>
            <w:noWrap w:val="0"/>
            <w:vAlign w:val="center"/>
          </w:tcPr>
          <w:p w14:paraId="2176D635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9" w:type="dxa"/>
            <w:noWrap w:val="0"/>
            <w:vAlign w:val="center"/>
          </w:tcPr>
          <w:p w14:paraId="5A58D4AF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181DD66F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3E8DE978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5" w:type="dxa"/>
            <w:noWrap w:val="0"/>
            <w:vAlign w:val="center"/>
          </w:tcPr>
          <w:p w14:paraId="64841BB3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27B56D83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</w:tr>
      <w:tr w14:paraId="66F935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jc w:val="center"/>
        </w:trPr>
        <w:tc>
          <w:tcPr>
            <w:tcW w:w="1036" w:type="dxa"/>
            <w:noWrap w:val="0"/>
            <w:vAlign w:val="center"/>
          </w:tcPr>
          <w:p w14:paraId="357D2112">
            <w:pPr>
              <w:rPr>
                <w:b w:val="0"/>
                <w:bCs w:val="0"/>
              </w:rPr>
            </w:pPr>
          </w:p>
        </w:tc>
        <w:tc>
          <w:tcPr>
            <w:tcW w:w="2161" w:type="dxa"/>
            <w:noWrap w:val="0"/>
            <w:vAlign w:val="center"/>
          </w:tcPr>
          <w:p w14:paraId="70F51041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9" w:type="dxa"/>
            <w:noWrap w:val="0"/>
            <w:vAlign w:val="center"/>
          </w:tcPr>
          <w:p w14:paraId="37C465C9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75A1C883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3FE5172E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5" w:type="dxa"/>
            <w:noWrap w:val="0"/>
            <w:vAlign w:val="center"/>
          </w:tcPr>
          <w:p w14:paraId="7CAC9F1F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1CAC0E74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</w:tr>
      <w:tr w14:paraId="25B3CF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jc w:val="center"/>
        </w:trPr>
        <w:tc>
          <w:tcPr>
            <w:tcW w:w="1036" w:type="dxa"/>
            <w:noWrap w:val="0"/>
            <w:vAlign w:val="center"/>
          </w:tcPr>
          <w:p w14:paraId="27635C36">
            <w:pPr>
              <w:rPr>
                <w:b w:val="0"/>
                <w:bCs w:val="0"/>
              </w:rPr>
            </w:pPr>
          </w:p>
        </w:tc>
        <w:tc>
          <w:tcPr>
            <w:tcW w:w="2161" w:type="dxa"/>
            <w:noWrap w:val="0"/>
            <w:vAlign w:val="center"/>
          </w:tcPr>
          <w:p w14:paraId="01631C1F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9" w:type="dxa"/>
            <w:noWrap w:val="0"/>
            <w:vAlign w:val="center"/>
          </w:tcPr>
          <w:p w14:paraId="3A9C3C9F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50474F35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1805E7BC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5" w:type="dxa"/>
            <w:noWrap w:val="0"/>
            <w:vAlign w:val="center"/>
          </w:tcPr>
          <w:p w14:paraId="7C893D9B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527AC305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</w:tr>
      <w:tr w14:paraId="775455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jc w:val="center"/>
        </w:trPr>
        <w:tc>
          <w:tcPr>
            <w:tcW w:w="1036" w:type="dxa"/>
            <w:noWrap w:val="0"/>
            <w:vAlign w:val="center"/>
          </w:tcPr>
          <w:p w14:paraId="6F2DE824">
            <w:pPr>
              <w:rPr>
                <w:b w:val="0"/>
                <w:bCs w:val="0"/>
              </w:rPr>
            </w:pPr>
          </w:p>
        </w:tc>
        <w:tc>
          <w:tcPr>
            <w:tcW w:w="2161" w:type="dxa"/>
            <w:noWrap w:val="0"/>
            <w:vAlign w:val="center"/>
          </w:tcPr>
          <w:p w14:paraId="18C80F5A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9" w:type="dxa"/>
            <w:noWrap w:val="0"/>
            <w:vAlign w:val="center"/>
          </w:tcPr>
          <w:p w14:paraId="21863D44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37AE9DA5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75813D0A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5" w:type="dxa"/>
            <w:noWrap w:val="0"/>
            <w:vAlign w:val="center"/>
          </w:tcPr>
          <w:p w14:paraId="0FEB45C5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47B53562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</w:tr>
      <w:tr w14:paraId="7ECC64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jc w:val="center"/>
        </w:trPr>
        <w:tc>
          <w:tcPr>
            <w:tcW w:w="1036" w:type="dxa"/>
            <w:noWrap w:val="0"/>
            <w:vAlign w:val="center"/>
          </w:tcPr>
          <w:p w14:paraId="4E3EA299">
            <w:pPr>
              <w:rPr>
                <w:b w:val="0"/>
                <w:bCs w:val="0"/>
              </w:rPr>
            </w:pPr>
          </w:p>
        </w:tc>
        <w:tc>
          <w:tcPr>
            <w:tcW w:w="2161" w:type="dxa"/>
            <w:noWrap w:val="0"/>
            <w:vAlign w:val="center"/>
          </w:tcPr>
          <w:p w14:paraId="36F66B4B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9" w:type="dxa"/>
            <w:noWrap w:val="0"/>
            <w:vAlign w:val="center"/>
          </w:tcPr>
          <w:p w14:paraId="5ECE39FD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1ACACA22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197553F1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5" w:type="dxa"/>
            <w:noWrap w:val="0"/>
            <w:vAlign w:val="center"/>
          </w:tcPr>
          <w:p w14:paraId="7A40AB1C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7D2D09D5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</w:tr>
      <w:tr w14:paraId="2B9048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jc w:val="center"/>
        </w:trPr>
        <w:tc>
          <w:tcPr>
            <w:tcW w:w="1036" w:type="dxa"/>
            <w:noWrap w:val="0"/>
            <w:vAlign w:val="center"/>
          </w:tcPr>
          <w:p w14:paraId="70365C00">
            <w:pPr>
              <w:rPr>
                <w:b w:val="0"/>
                <w:bCs w:val="0"/>
              </w:rPr>
            </w:pPr>
          </w:p>
        </w:tc>
        <w:tc>
          <w:tcPr>
            <w:tcW w:w="2161" w:type="dxa"/>
            <w:noWrap w:val="0"/>
            <w:vAlign w:val="center"/>
          </w:tcPr>
          <w:p w14:paraId="71EE834F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9" w:type="dxa"/>
            <w:noWrap w:val="0"/>
            <w:vAlign w:val="center"/>
          </w:tcPr>
          <w:p w14:paraId="6BBE0D61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4C16CF51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185AC5CB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5" w:type="dxa"/>
            <w:noWrap w:val="0"/>
            <w:vAlign w:val="center"/>
          </w:tcPr>
          <w:p w14:paraId="61712FC9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54048DAE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</w:tr>
      <w:tr w14:paraId="43B85E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gridAfter w:val="1"/>
          <w:wAfter w:w="8" w:type="dxa"/>
          <w:jc w:val="center"/>
        </w:trPr>
        <w:tc>
          <w:tcPr>
            <w:tcW w:w="1036" w:type="dxa"/>
            <w:noWrap w:val="0"/>
            <w:vAlign w:val="center"/>
          </w:tcPr>
          <w:p w14:paraId="6F03691E">
            <w:pPr>
              <w:rPr>
                <w:b w:val="0"/>
                <w:bCs w:val="0"/>
              </w:rPr>
            </w:pPr>
          </w:p>
        </w:tc>
        <w:tc>
          <w:tcPr>
            <w:tcW w:w="2161" w:type="dxa"/>
            <w:noWrap w:val="0"/>
            <w:vAlign w:val="center"/>
          </w:tcPr>
          <w:p w14:paraId="506ACD28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9" w:type="dxa"/>
            <w:noWrap w:val="0"/>
            <w:vAlign w:val="center"/>
          </w:tcPr>
          <w:p w14:paraId="3FF396AA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097AD853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596BBE37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5" w:type="dxa"/>
            <w:noWrap w:val="0"/>
            <w:vAlign w:val="center"/>
          </w:tcPr>
          <w:p w14:paraId="32ADD405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7ECC327B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</w:tr>
      <w:tr w14:paraId="6A13F6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jc w:val="center"/>
        </w:trPr>
        <w:tc>
          <w:tcPr>
            <w:tcW w:w="1036" w:type="dxa"/>
            <w:noWrap w:val="0"/>
            <w:vAlign w:val="center"/>
          </w:tcPr>
          <w:p w14:paraId="4DDC80F6">
            <w:pPr>
              <w:rPr>
                <w:b w:val="0"/>
                <w:bCs w:val="0"/>
              </w:rPr>
            </w:pPr>
          </w:p>
        </w:tc>
        <w:tc>
          <w:tcPr>
            <w:tcW w:w="2161" w:type="dxa"/>
            <w:noWrap w:val="0"/>
            <w:vAlign w:val="center"/>
          </w:tcPr>
          <w:p w14:paraId="4E503DF9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9" w:type="dxa"/>
            <w:noWrap w:val="0"/>
            <w:vAlign w:val="center"/>
          </w:tcPr>
          <w:p w14:paraId="2DEF4164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3BF5D3AF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6858CF9C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5" w:type="dxa"/>
            <w:noWrap w:val="0"/>
            <w:vAlign w:val="center"/>
          </w:tcPr>
          <w:p w14:paraId="2B392FE1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47BC6A52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</w:tr>
      <w:tr w14:paraId="18D9F3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jc w:val="center"/>
        </w:trPr>
        <w:tc>
          <w:tcPr>
            <w:tcW w:w="1036" w:type="dxa"/>
            <w:noWrap w:val="0"/>
            <w:vAlign w:val="center"/>
          </w:tcPr>
          <w:p w14:paraId="106F29B5">
            <w:pPr>
              <w:rPr>
                <w:b w:val="0"/>
                <w:bCs w:val="0"/>
              </w:rPr>
            </w:pPr>
          </w:p>
        </w:tc>
        <w:tc>
          <w:tcPr>
            <w:tcW w:w="2161" w:type="dxa"/>
            <w:noWrap w:val="0"/>
            <w:vAlign w:val="center"/>
          </w:tcPr>
          <w:p w14:paraId="422B670A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9" w:type="dxa"/>
            <w:noWrap w:val="0"/>
            <w:vAlign w:val="center"/>
          </w:tcPr>
          <w:p w14:paraId="61FAADE3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527D34D2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3BF7E71C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5" w:type="dxa"/>
            <w:noWrap w:val="0"/>
            <w:vAlign w:val="center"/>
          </w:tcPr>
          <w:p w14:paraId="51D453B5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4AA71B16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</w:tr>
      <w:tr w14:paraId="27AC22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jc w:val="center"/>
        </w:trPr>
        <w:tc>
          <w:tcPr>
            <w:tcW w:w="1036" w:type="dxa"/>
            <w:noWrap w:val="0"/>
            <w:vAlign w:val="center"/>
          </w:tcPr>
          <w:p w14:paraId="7024A86C">
            <w:pPr>
              <w:rPr>
                <w:b w:val="0"/>
                <w:bCs w:val="0"/>
              </w:rPr>
            </w:pPr>
          </w:p>
        </w:tc>
        <w:tc>
          <w:tcPr>
            <w:tcW w:w="2161" w:type="dxa"/>
            <w:noWrap w:val="0"/>
            <w:vAlign w:val="center"/>
          </w:tcPr>
          <w:p w14:paraId="245E2B03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9" w:type="dxa"/>
            <w:noWrap w:val="0"/>
            <w:vAlign w:val="center"/>
          </w:tcPr>
          <w:p w14:paraId="799045DE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4CA06258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43492089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5" w:type="dxa"/>
            <w:noWrap w:val="0"/>
            <w:vAlign w:val="center"/>
          </w:tcPr>
          <w:p w14:paraId="7148E213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124F6FBB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</w:tr>
      <w:tr w14:paraId="6DAA25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jc w:val="center"/>
        </w:trPr>
        <w:tc>
          <w:tcPr>
            <w:tcW w:w="1036" w:type="dxa"/>
            <w:noWrap w:val="0"/>
            <w:vAlign w:val="center"/>
          </w:tcPr>
          <w:p w14:paraId="69E53152">
            <w:pPr>
              <w:rPr>
                <w:b w:val="0"/>
                <w:bCs w:val="0"/>
              </w:rPr>
            </w:pPr>
          </w:p>
        </w:tc>
        <w:tc>
          <w:tcPr>
            <w:tcW w:w="2161" w:type="dxa"/>
            <w:noWrap w:val="0"/>
            <w:vAlign w:val="center"/>
          </w:tcPr>
          <w:p w14:paraId="0B4B0E67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9" w:type="dxa"/>
            <w:noWrap w:val="0"/>
            <w:vAlign w:val="center"/>
          </w:tcPr>
          <w:p w14:paraId="30427D3C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41BBD6FA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6D78009D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5" w:type="dxa"/>
            <w:noWrap w:val="0"/>
            <w:vAlign w:val="center"/>
          </w:tcPr>
          <w:p w14:paraId="03C1AE9D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3C87EFD0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</w:tr>
      <w:tr w14:paraId="4F6577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jc w:val="center"/>
        </w:trPr>
        <w:tc>
          <w:tcPr>
            <w:tcW w:w="1036" w:type="dxa"/>
            <w:noWrap w:val="0"/>
            <w:vAlign w:val="center"/>
          </w:tcPr>
          <w:p w14:paraId="28C30B62">
            <w:pPr>
              <w:rPr>
                <w:b w:val="0"/>
                <w:bCs w:val="0"/>
              </w:rPr>
            </w:pPr>
          </w:p>
        </w:tc>
        <w:tc>
          <w:tcPr>
            <w:tcW w:w="2161" w:type="dxa"/>
            <w:noWrap w:val="0"/>
            <w:vAlign w:val="center"/>
          </w:tcPr>
          <w:p w14:paraId="5236C670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9" w:type="dxa"/>
            <w:noWrap w:val="0"/>
            <w:vAlign w:val="center"/>
          </w:tcPr>
          <w:p w14:paraId="0916D374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0D1EF4B7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2AF794DF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5" w:type="dxa"/>
            <w:noWrap w:val="0"/>
            <w:vAlign w:val="center"/>
          </w:tcPr>
          <w:p w14:paraId="48CE5FB2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61FF7C1F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</w:tr>
      <w:tr w14:paraId="7EB108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jc w:val="center"/>
        </w:trPr>
        <w:tc>
          <w:tcPr>
            <w:tcW w:w="1036" w:type="dxa"/>
            <w:noWrap w:val="0"/>
            <w:vAlign w:val="center"/>
          </w:tcPr>
          <w:p w14:paraId="050CE837">
            <w:pPr>
              <w:rPr>
                <w:b w:val="0"/>
                <w:bCs w:val="0"/>
              </w:rPr>
            </w:pPr>
          </w:p>
        </w:tc>
        <w:tc>
          <w:tcPr>
            <w:tcW w:w="2161" w:type="dxa"/>
            <w:noWrap w:val="0"/>
            <w:vAlign w:val="center"/>
          </w:tcPr>
          <w:p w14:paraId="7F81C418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9" w:type="dxa"/>
            <w:noWrap w:val="0"/>
            <w:vAlign w:val="center"/>
          </w:tcPr>
          <w:p w14:paraId="3247D5DB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79198AC8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18FEA70E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5" w:type="dxa"/>
            <w:noWrap w:val="0"/>
            <w:vAlign w:val="center"/>
          </w:tcPr>
          <w:p w14:paraId="544ABBF5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3EF7A410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</w:tr>
      <w:tr w14:paraId="3CFE8F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jc w:val="center"/>
        </w:trPr>
        <w:tc>
          <w:tcPr>
            <w:tcW w:w="1036" w:type="dxa"/>
            <w:noWrap w:val="0"/>
            <w:vAlign w:val="center"/>
          </w:tcPr>
          <w:p w14:paraId="43B6AA6E">
            <w:pPr>
              <w:rPr>
                <w:b w:val="0"/>
                <w:bCs w:val="0"/>
              </w:rPr>
            </w:pPr>
          </w:p>
        </w:tc>
        <w:tc>
          <w:tcPr>
            <w:tcW w:w="2161" w:type="dxa"/>
            <w:noWrap w:val="0"/>
            <w:vAlign w:val="center"/>
          </w:tcPr>
          <w:p w14:paraId="4B713F25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9" w:type="dxa"/>
            <w:noWrap w:val="0"/>
            <w:vAlign w:val="center"/>
          </w:tcPr>
          <w:p w14:paraId="10E1294A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159A470E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2D9B8B8B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5" w:type="dxa"/>
            <w:noWrap w:val="0"/>
            <w:vAlign w:val="center"/>
          </w:tcPr>
          <w:p w14:paraId="4A03D896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4569ECC1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</w:tr>
      <w:tr w14:paraId="6D32D3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jc w:val="center"/>
        </w:trPr>
        <w:tc>
          <w:tcPr>
            <w:tcW w:w="1036" w:type="dxa"/>
            <w:noWrap w:val="0"/>
            <w:vAlign w:val="center"/>
          </w:tcPr>
          <w:p w14:paraId="732D014E">
            <w:pPr>
              <w:rPr>
                <w:b w:val="0"/>
                <w:bCs w:val="0"/>
              </w:rPr>
            </w:pPr>
          </w:p>
        </w:tc>
        <w:tc>
          <w:tcPr>
            <w:tcW w:w="2161" w:type="dxa"/>
            <w:noWrap w:val="0"/>
            <w:vAlign w:val="center"/>
          </w:tcPr>
          <w:p w14:paraId="3968F714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9" w:type="dxa"/>
            <w:noWrap w:val="0"/>
            <w:vAlign w:val="center"/>
          </w:tcPr>
          <w:p w14:paraId="17BC03C1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64909332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4416038B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5" w:type="dxa"/>
            <w:noWrap w:val="0"/>
            <w:vAlign w:val="center"/>
          </w:tcPr>
          <w:p w14:paraId="2C01B20C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662110C8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</w:tr>
      <w:tr w14:paraId="495250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jc w:val="center"/>
        </w:trPr>
        <w:tc>
          <w:tcPr>
            <w:tcW w:w="1036" w:type="dxa"/>
            <w:noWrap w:val="0"/>
            <w:vAlign w:val="center"/>
          </w:tcPr>
          <w:p w14:paraId="175D1ADF">
            <w:pPr>
              <w:rPr>
                <w:b w:val="0"/>
                <w:bCs w:val="0"/>
              </w:rPr>
            </w:pPr>
          </w:p>
        </w:tc>
        <w:tc>
          <w:tcPr>
            <w:tcW w:w="2161" w:type="dxa"/>
            <w:noWrap w:val="0"/>
            <w:vAlign w:val="center"/>
          </w:tcPr>
          <w:p w14:paraId="092C6190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9" w:type="dxa"/>
            <w:noWrap w:val="0"/>
            <w:vAlign w:val="center"/>
          </w:tcPr>
          <w:p w14:paraId="4B023814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1F664F2B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4BD097F3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5" w:type="dxa"/>
            <w:noWrap w:val="0"/>
            <w:vAlign w:val="center"/>
          </w:tcPr>
          <w:p w14:paraId="26AF7F44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2A2801F7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</w:tr>
      <w:tr w14:paraId="06B56B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jc w:val="center"/>
        </w:trPr>
        <w:tc>
          <w:tcPr>
            <w:tcW w:w="1036" w:type="dxa"/>
            <w:noWrap w:val="0"/>
            <w:vAlign w:val="center"/>
          </w:tcPr>
          <w:p w14:paraId="41F3C844">
            <w:pPr>
              <w:rPr>
                <w:b w:val="0"/>
                <w:bCs w:val="0"/>
              </w:rPr>
            </w:pPr>
          </w:p>
        </w:tc>
        <w:tc>
          <w:tcPr>
            <w:tcW w:w="2161" w:type="dxa"/>
            <w:noWrap w:val="0"/>
            <w:vAlign w:val="center"/>
          </w:tcPr>
          <w:p w14:paraId="662441C7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9" w:type="dxa"/>
            <w:noWrap w:val="0"/>
            <w:vAlign w:val="center"/>
          </w:tcPr>
          <w:p w14:paraId="19CAAFC4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655B8409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72FEC2CF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5" w:type="dxa"/>
            <w:noWrap w:val="0"/>
            <w:vAlign w:val="center"/>
          </w:tcPr>
          <w:p w14:paraId="38155B09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5654585E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</w:tr>
      <w:tr w14:paraId="404EDA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jc w:val="center"/>
        </w:trPr>
        <w:tc>
          <w:tcPr>
            <w:tcW w:w="1036" w:type="dxa"/>
            <w:noWrap w:val="0"/>
            <w:vAlign w:val="center"/>
          </w:tcPr>
          <w:p w14:paraId="4062C707">
            <w:pPr>
              <w:rPr>
                <w:b w:val="0"/>
                <w:bCs w:val="0"/>
              </w:rPr>
            </w:pPr>
          </w:p>
        </w:tc>
        <w:tc>
          <w:tcPr>
            <w:tcW w:w="2161" w:type="dxa"/>
            <w:noWrap w:val="0"/>
            <w:vAlign w:val="center"/>
          </w:tcPr>
          <w:p w14:paraId="0B740169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9" w:type="dxa"/>
            <w:noWrap w:val="0"/>
            <w:vAlign w:val="center"/>
          </w:tcPr>
          <w:p w14:paraId="2F1629DA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67FE7BAD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7D8C8E37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5" w:type="dxa"/>
            <w:noWrap w:val="0"/>
            <w:vAlign w:val="center"/>
          </w:tcPr>
          <w:p w14:paraId="0023C201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7DB706DC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</w:tr>
      <w:tr w14:paraId="7965D1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jc w:val="center"/>
        </w:trPr>
        <w:tc>
          <w:tcPr>
            <w:tcW w:w="1036" w:type="dxa"/>
            <w:noWrap w:val="0"/>
            <w:vAlign w:val="center"/>
          </w:tcPr>
          <w:p w14:paraId="3468A14E">
            <w:pPr>
              <w:rPr>
                <w:b w:val="0"/>
                <w:bCs w:val="0"/>
              </w:rPr>
            </w:pPr>
          </w:p>
        </w:tc>
        <w:tc>
          <w:tcPr>
            <w:tcW w:w="2161" w:type="dxa"/>
            <w:noWrap w:val="0"/>
            <w:vAlign w:val="center"/>
          </w:tcPr>
          <w:p w14:paraId="562F756C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9" w:type="dxa"/>
            <w:noWrap w:val="0"/>
            <w:vAlign w:val="center"/>
          </w:tcPr>
          <w:p w14:paraId="2D239B14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4A8EE455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7753331E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5" w:type="dxa"/>
            <w:noWrap w:val="0"/>
            <w:vAlign w:val="center"/>
          </w:tcPr>
          <w:p w14:paraId="3E9ABE1B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05D774A3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</w:tr>
      <w:tr w14:paraId="7F5FFD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jc w:val="center"/>
        </w:trPr>
        <w:tc>
          <w:tcPr>
            <w:tcW w:w="1036" w:type="dxa"/>
            <w:noWrap w:val="0"/>
            <w:vAlign w:val="center"/>
          </w:tcPr>
          <w:p w14:paraId="51ED7688">
            <w:pPr>
              <w:rPr>
                <w:b w:val="0"/>
                <w:bCs w:val="0"/>
              </w:rPr>
            </w:pPr>
          </w:p>
        </w:tc>
        <w:tc>
          <w:tcPr>
            <w:tcW w:w="2161" w:type="dxa"/>
            <w:noWrap w:val="0"/>
            <w:vAlign w:val="center"/>
          </w:tcPr>
          <w:p w14:paraId="3815D6E4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9" w:type="dxa"/>
            <w:noWrap w:val="0"/>
            <w:vAlign w:val="center"/>
          </w:tcPr>
          <w:p w14:paraId="31120F4A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1B81991A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4E8E765E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5" w:type="dxa"/>
            <w:noWrap w:val="0"/>
            <w:vAlign w:val="center"/>
          </w:tcPr>
          <w:p w14:paraId="444C5075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1C7C6BB8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</w:tr>
      <w:tr w14:paraId="2CF8B2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jc w:val="center"/>
        </w:trPr>
        <w:tc>
          <w:tcPr>
            <w:tcW w:w="1036" w:type="dxa"/>
            <w:noWrap w:val="0"/>
            <w:vAlign w:val="center"/>
          </w:tcPr>
          <w:p w14:paraId="21D77AF1">
            <w:pPr>
              <w:rPr>
                <w:b w:val="0"/>
                <w:bCs w:val="0"/>
              </w:rPr>
            </w:pPr>
          </w:p>
        </w:tc>
        <w:tc>
          <w:tcPr>
            <w:tcW w:w="2161" w:type="dxa"/>
            <w:noWrap w:val="0"/>
            <w:vAlign w:val="center"/>
          </w:tcPr>
          <w:p w14:paraId="1F4405CA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9" w:type="dxa"/>
            <w:noWrap w:val="0"/>
            <w:vAlign w:val="center"/>
          </w:tcPr>
          <w:p w14:paraId="32B4B449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0C7CFD88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081" w:type="dxa"/>
            <w:noWrap w:val="0"/>
            <w:vAlign w:val="center"/>
          </w:tcPr>
          <w:p w14:paraId="58C9F801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615" w:type="dxa"/>
            <w:noWrap w:val="0"/>
            <w:vAlign w:val="center"/>
          </w:tcPr>
          <w:p w14:paraId="67505689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7A6EAC8B">
            <w:pPr>
              <w:pStyle w:val="52"/>
              <w:widowControl w:val="0"/>
              <w:adjustRightInd w:val="0"/>
              <w:snapToGrid w:val="0"/>
              <w:spacing w:line="300" w:lineRule="auto"/>
              <w:ind w:firstLine="0" w:firstLineChars="0"/>
              <w:jc w:val="center"/>
              <w:rPr>
                <w:rFonts w:hint="eastAsia" w:hAnsi="宋体"/>
                <w:b w:val="0"/>
                <w:bCs w:val="0"/>
                <w:szCs w:val="21"/>
              </w:rPr>
            </w:pPr>
          </w:p>
        </w:tc>
      </w:tr>
    </w:tbl>
    <w:p w14:paraId="761015B3">
      <w:pPr>
        <w:rPr>
          <w:rFonts w:hint="eastAsia"/>
          <w:b w:val="0"/>
          <w:bCs w:val="0"/>
          <w:sz w:val="15"/>
        </w:rPr>
        <w:sectPr>
          <w:headerReference r:id="rId8" w:type="default"/>
          <w:footerReference r:id="rId9" w:type="default"/>
          <w:pgSz w:w="11906" w:h="16838"/>
          <w:pgMar w:top="567" w:right="567" w:bottom="567" w:left="1418" w:header="567" w:footer="56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  <w:docGrid w:type="lines" w:linePitch="312" w:charSpace="0"/>
        </w:sectPr>
      </w:pPr>
    </w:p>
    <w:p w14:paraId="33ACE210">
      <w:pPr>
        <w:pStyle w:val="105"/>
        <w:bidi w:val="0"/>
        <w:rPr>
          <w:rFonts w:hint="eastAsia"/>
          <w:b w:val="0"/>
          <w:bCs w:val="0"/>
        </w:rPr>
      </w:pPr>
      <w:bookmarkStart w:id="59" w:name="_Toc45810548"/>
      <w:bookmarkStart w:id="60" w:name="_Toc523839300"/>
      <w:r>
        <w:rPr>
          <w:rFonts w:hint="eastAsia"/>
          <w:b w:val="0"/>
          <w:bCs w:val="0"/>
        </w:rPr>
        <w:t>目次</w:t>
      </w:r>
      <w:bookmarkEnd w:id="59"/>
      <w:bookmarkEnd w:id="60"/>
    </w:p>
    <w:sdt>
      <w:sdtPr>
        <w:rPr>
          <w:rFonts w:ascii="宋体" w:hAnsi="宋体" w:eastAsia="宋体" w:cs="Times New Roman"/>
          <w:kern w:val="2"/>
          <w:sz w:val="21"/>
          <w:lang w:val="en-US" w:eastAsia="zh-CN" w:bidi="ar-SA"/>
        </w:rPr>
        <w:id w:val="147469341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kern w:val="2"/>
          <w:sz w:val="21"/>
          <w:lang w:val="en-US" w:eastAsia="zh-CN" w:bidi="ar-SA"/>
        </w:rPr>
      </w:sdtEndPr>
      <w:sdtContent>
        <w:p w14:paraId="4867B42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78725579">
          <w:pPr>
            <w:pStyle w:val="20"/>
            <w:tabs>
              <w:tab w:val="right" w:leader="dot" w:pos="8306"/>
              <w:tab w:val="clear" w:pos="9457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_Toc19745 </w:instrText>
          </w:r>
          <w:r>
            <w:fldChar w:fldCharType="separate"/>
          </w:r>
          <w:r>
            <w:rPr>
              <w:rFonts w:hint="eastAsia"/>
              <w:bCs w:val="0"/>
            </w:rPr>
            <w:t xml:space="preserve">1 </w:t>
          </w:r>
          <w:r>
            <w:rPr>
              <w:rFonts w:hint="eastAsia"/>
              <w:bCs w:val="0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_Toc19745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E32C83D">
          <w:pPr>
            <w:pStyle w:val="20"/>
            <w:tabs>
              <w:tab w:val="right" w:leader="dot" w:pos="8306"/>
              <w:tab w:val="clear" w:pos="9457"/>
            </w:tabs>
          </w:pPr>
          <w:r>
            <w:fldChar w:fldCharType="begin"/>
          </w:r>
          <w:r>
            <w:instrText xml:space="preserve"> HYPERLINK \l _Toc25289 </w:instrText>
          </w:r>
          <w:r>
            <w:fldChar w:fldCharType="separate"/>
          </w:r>
          <w:r>
            <w:rPr>
              <w:rFonts w:hint="eastAsia"/>
              <w:bCs w:val="0"/>
            </w:rPr>
            <w:t xml:space="preserve">2 </w:t>
          </w:r>
          <w:r>
            <w:rPr>
              <w:bCs w:val="0"/>
            </w:rPr>
            <w:t>总体业务方案</w:t>
          </w:r>
          <w:r>
            <w:tab/>
          </w:r>
          <w:r>
            <w:fldChar w:fldCharType="begin"/>
          </w:r>
          <w:r>
            <w:instrText xml:space="preserve"> PAGEREF _Toc25289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307CD8D">
          <w:pPr>
            <w:pStyle w:val="20"/>
            <w:tabs>
              <w:tab w:val="right" w:leader="dot" w:pos="8306"/>
              <w:tab w:val="clear" w:pos="9457"/>
            </w:tabs>
          </w:pPr>
          <w:r>
            <w:fldChar w:fldCharType="begin"/>
          </w:r>
          <w:r>
            <w:instrText xml:space="preserve"> HYPERLINK \l _Toc15717 </w:instrText>
          </w:r>
          <w:r>
            <w:fldChar w:fldCharType="separate"/>
          </w:r>
          <w:r>
            <w:rPr>
              <w:rFonts w:hint="eastAsia"/>
              <w:bCs w:val="0"/>
            </w:rPr>
            <w:t xml:space="preserve">3 </w:t>
          </w:r>
          <w:r>
            <w:rPr>
              <w:bCs w:val="0"/>
            </w:rPr>
            <w:t>总体功能架构</w:t>
          </w:r>
          <w:r>
            <w:tab/>
          </w:r>
          <w:r>
            <w:fldChar w:fldCharType="begin"/>
          </w:r>
          <w:r>
            <w:instrText xml:space="preserve"> PAGEREF _Toc15717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DB4C62B">
          <w:pPr>
            <w:pStyle w:val="20"/>
            <w:tabs>
              <w:tab w:val="right" w:leader="dot" w:pos="8306"/>
              <w:tab w:val="clear" w:pos="9457"/>
            </w:tabs>
          </w:pPr>
          <w:r>
            <w:fldChar w:fldCharType="begin"/>
          </w:r>
          <w:r>
            <w:instrText xml:space="preserve"> HYPERLINK \l _Toc12294 </w:instrText>
          </w:r>
          <w:r>
            <w:fldChar w:fldCharType="separate"/>
          </w:r>
          <w:r>
            <w:rPr>
              <w:rFonts w:hint="eastAsia"/>
              <w:bCs w:val="0"/>
            </w:rPr>
            <w:t xml:space="preserve">4 </w:t>
          </w:r>
          <w:r>
            <w:rPr>
              <w:bCs w:val="0"/>
            </w:rPr>
            <w:t>总体技术架构</w:t>
          </w:r>
          <w:r>
            <w:tab/>
          </w:r>
          <w:r>
            <w:fldChar w:fldCharType="begin"/>
          </w:r>
          <w:r>
            <w:instrText xml:space="preserve"> PAGEREF _Toc12294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818E8C9">
          <w:pPr>
            <w:pStyle w:val="20"/>
            <w:tabs>
              <w:tab w:val="right" w:leader="dot" w:pos="8306"/>
              <w:tab w:val="clear" w:pos="9457"/>
            </w:tabs>
          </w:pPr>
          <w:r>
            <w:fldChar w:fldCharType="begin"/>
          </w:r>
          <w:r>
            <w:instrText xml:space="preserve"> HYPERLINK \l _Toc4402 </w:instrText>
          </w:r>
          <w:r>
            <w:fldChar w:fldCharType="separate"/>
          </w:r>
          <w:r>
            <w:rPr>
              <w:rFonts w:hint="eastAsia"/>
              <w:bCs w:val="0"/>
            </w:rPr>
            <w:t xml:space="preserve">5 </w:t>
          </w:r>
          <w:r>
            <w:rPr>
              <w:bCs w:val="0"/>
            </w:rPr>
            <w:t>智能助手实施方案</w:t>
          </w:r>
          <w:r>
            <w:tab/>
          </w:r>
          <w:r>
            <w:fldChar w:fldCharType="begin"/>
          </w:r>
          <w:r>
            <w:instrText xml:space="preserve"> PAGEREF _Toc4402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B301F66">
          <w:pPr>
            <w:pStyle w:val="20"/>
            <w:tabs>
              <w:tab w:val="right" w:leader="dot" w:pos="8306"/>
              <w:tab w:val="clear" w:pos="9457"/>
            </w:tabs>
          </w:pPr>
          <w:r>
            <w:fldChar w:fldCharType="begin"/>
          </w:r>
          <w:r>
            <w:instrText xml:space="preserve"> HYPERLINK \l _Toc16687 </w:instrText>
          </w:r>
          <w:r>
            <w:fldChar w:fldCharType="separate"/>
          </w:r>
          <w:r>
            <w:rPr>
              <w:rFonts w:hint="eastAsia"/>
              <w:bCs w:val="0"/>
            </w:rPr>
            <w:t xml:space="preserve">6 </w:t>
          </w:r>
          <w:r>
            <w:rPr>
              <w:rFonts w:hint="eastAsia"/>
              <w:bCs w:val="0"/>
              <w:lang w:val="en-US" w:eastAsia="zh-CN"/>
            </w:rPr>
            <w:t>任务中心</w:t>
          </w:r>
          <w:r>
            <w:rPr>
              <w:bCs w:val="0"/>
            </w:rPr>
            <w:t>实施方案</w:t>
          </w:r>
          <w:r>
            <w:tab/>
          </w:r>
          <w:r>
            <w:fldChar w:fldCharType="begin"/>
          </w:r>
          <w:r>
            <w:instrText xml:space="preserve"> PAGEREF _Toc16687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840F468">
          <w:pPr>
            <w:pStyle w:val="20"/>
            <w:tabs>
              <w:tab w:val="right" w:leader="dot" w:pos="8306"/>
              <w:tab w:val="clear" w:pos="9457"/>
            </w:tabs>
          </w:pPr>
          <w:r>
            <w:fldChar w:fldCharType="begin"/>
          </w:r>
          <w:r>
            <w:instrText xml:space="preserve"> HYPERLINK \l _Toc31402 </w:instrText>
          </w:r>
          <w:r>
            <w:fldChar w:fldCharType="separate"/>
          </w:r>
          <w:r>
            <w:rPr>
              <w:rFonts w:hint="eastAsia"/>
              <w:bCs w:val="0"/>
            </w:rPr>
            <w:t xml:space="preserve">7 </w:t>
          </w:r>
          <w:r>
            <w:rPr>
              <w:bCs w:val="0"/>
            </w:rPr>
            <w:t>能力</w:t>
          </w:r>
          <w:r>
            <w:rPr>
              <w:rFonts w:hint="eastAsia"/>
              <w:bCs w:val="0"/>
              <w:lang w:val="en-US" w:eastAsia="zh-CN"/>
            </w:rPr>
            <w:t>中心</w:t>
          </w:r>
          <w:r>
            <w:rPr>
              <w:bCs w:val="0"/>
            </w:rPr>
            <w:t>实施方案</w:t>
          </w:r>
          <w:r>
            <w:tab/>
          </w:r>
          <w:r>
            <w:fldChar w:fldCharType="begin"/>
          </w:r>
          <w:r>
            <w:instrText xml:space="preserve"> PAGEREF _Toc31402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6039A51">
          <w:pPr>
            <w:pStyle w:val="20"/>
            <w:tabs>
              <w:tab w:val="right" w:leader="dot" w:pos="8306"/>
              <w:tab w:val="clear" w:pos="9457"/>
            </w:tabs>
          </w:pPr>
          <w:r>
            <w:fldChar w:fldCharType="begin"/>
          </w:r>
          <w:r>
            <w:instrText xml:space="preserve"> HYPERLINK \l _Toc26139 </w:instrText>
          </w:r>
          <w:r>
            <w:fldChar w:fldCharType="separate"/>
          </w:r>
          <w:r>
            <w:rPr>
              <w:rFonts w:hint="eastAsia"/>
              <w:bCs w:val="0"/>
            </w:rPr>
            <w:t xml:space="preserve">8 </w:t>
          </w:r>
          <w:r>
            <w:rPr>
              <w:rFonts w:hint="eastAsia"/>
              <w:bCs w:val="0"/>
              <w:lang w:val="en-US" w:eastAsia="zh-CN"/>
            </w:rPr>
            <w:t>模型工坊模块</w:t>
          </w:r>
          <w:r>
            <w:rPr>
              <w:bCs w:val="0"/>
            </w:rPr>
            <w:t>实施方案</w:t>
          </w:r>
          <w:r>
            <w:tab/>
          </w:r>
          <w:r>
            <w:fldChar w:fldCharType="begin"/>
          </w:r>
          <w:r>
            <w:instrText xml:space="preserve"> PAGEREF _Toc26139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66B1FD29">
          <w:pPr>
            <w:pStyle w:val="20"/>
            <w:tabs>
              <w:tab w:val="right" w:leader="dot" w:pos="8306"/>
              <w:tab w:val="clear" w:pos="9457"/>
            </w:tabs>
          </w:pPr>
          <w:r>
            <w:fldChar w:fldCharType="begin"/>
          </w:r>
          <w:r>
            <w:instrText xml:space="preserve"> HYPERLINK \l _Toc16273 </w:instrText>
          </w:r>
          <w:r>
            <w:fldChar w:fldCharType="separate"/>
          </w:r>
          <w:r>
            <w:rPr>
              <w:rFonts w:hint="eastAsia"/>
              <w:bCs w:val="0"/>
            </w:rPr>
            <w:t xml:space="preserve">9 </w:t>
          </w:r>
          <w:r>
            <w:rPr>
              <w:bCs w:val="0"/>
            </w:rPr>
            <w:t>知识中心实施方案</w:t>
          </w:r>
          <w:r>
            <w:tab/>
          </w:r>
          <w:r>
            <w:fldChar w:fldCharType="begin"/>
          </w:r>
          <w:r>
            <w:instrText xml:space="preserve"> PAGEREF _Toc16273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3FA2E09F">
          <w:pPr>
            <w:pStyle w:val="20"/>
            <w:tabs>
              <w:tab w:val="right" w:leader="dot" w:pos="8306"/>
              <w:tab w:val="clear" w:pos="9457"/>
            </w:tabs>
          </w:pPr>
          <w:r>
            <w:fldChar w:fldCharType="begin"/>
          </w:r>
          <w:r>
            <w:instrText xml:space="preserve"> HYPERLINK \l _Toc30081 </w:instrText>
          </w:r>
          <w:r>
            <w:fldChar w:fldCharType="separate"/>
          </w:r>
          <w:r>
            <w:rPr>
              <w:rFonts w:hint="eastAsia"/>
              <w:bCs w:val="0"/>
            </w:rPr>
            <w:t xml:space="preserve">10 </w:t>
          </w:r>
          <w:r>
            <w:rPr>
              <w:bCs w:val="0"/>
            </w:rPr>
            <w:t>报告与综合研判实施方案</w:t>
          </w:r>
          <w:r>
            <w:tab/>
          </w:r>
          <w:r>
            <w:fldChar w:fldCharType="begin"/>
          </w:r>
          <w:r>
            <w:instrText xml:space="preserve"> PAGEREF _Toc30081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0FE79631">
          <w:pPr>
            <w:pStyle w:val="20"/>
            <w:tabs>
              <w:tab w:val="right" w:leader="dot" w:pos="8306"/>
              <w:tab w:val="clear" w:pos="9457"/>
            </w:tabs>
          </w:pPr>
          <w:r>
            <w:fldChar w:fldCharType="begin"/>
          </w:r>
          <w:r>
            <w:instrText xml:space="preserve"> HYPERLINK \l _Toc2983 </w:instrText>
          </w:r>
          <w:r>
            <w:fldChar w:fldCharType="separate"/>
          </w:r>
          <w:r>
            <w:rPr>
              <w:rFonts w:hint="eastAsia"/>
              <w:bCs w:val="0"/>
            </w:rPr>
            <w:t xml:space="preserve">11 </w:t>
          </w:r>
          <w:r>
            <w:rPr>
              <w:rFonts w:hint="eastAsia"/>
              <w:bCs w:val="0"/>
              <w:lang w:val="en-US" w:eastAsia="zh-CN"/>
            </w:rPr>
            <w:t>工具服务</w:t>
          </w:r>
          <w:r>
            <w:rPr>
              <w:bCs w:val="0"/>
            </w:rPr>
            <w:t>中心与</w:t>
          </w:r>
          <w:r>
            <w:rPr>
              <w:rFonts w:hint="eastAsia"/>
              <w:bCs w:val="0"/>
              <w:lang w:val="en-US" w:eastAsia="zh-CN"/>
            </w:rPr>
            <w:t>后台管理</w:t>
          </w:r>
          <w:r>
            <w:rPr>
              <w:bCs w:val="0"/>
            </w:rPr>
            <w:t>实施方案</w:t>
          </w:r>
          <w:r>
            <w:tab/>
          </w:r>
          <w:r>
            <w:fldChar w:fldCharType="begin"/>
          </w:r>
          <w:r>
            <w:instrText xml:space="preserve"> PAGEREF _Toc2983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7EC7CB39">
          <w:pPr>
            <w:pStyle w:val="20"/>
            <w:tabs>
              <w:tab w:val="right" w:leader="dot" w:pos="8306"/>
              <w:tab w:val="clear" w:pos="9457"/>
            </w:tabs>
          </w:pPr>
          <w:r>
            <w:fldChar w:fldCharType="begin"/>
          </w:r>
          <w:r>
            <w:instrText xml:space="preserve"> HYPERLINK \l _Toc25730 </w:instrText>
          </w:r>
          <w:r>
            <w:fldChar w:fldCharType="separate"/>
          </w:r>
          <w:r>
            <w:rPr>
              <w:rFonts w:hint="eastAsia"/>
              <w:bCs w:val="0"/>
            </w:rPr>
            <w:t xml:space="preserve">12 </w:t>
          </w:r>
          <w:r>
            <w:rPr>
              <w:bCs w:val="0"/>
            </w:rPr>
            <w:t>数据与接口方案</w:t>
          </w:r>
          <w:r>
            <w:tab/>
          </w:r>
          <w:r>
            <w:fldChar w:fldCharType="begin"/>
          </w:r>
          <w:r>
            <w:instrText xml:space="preserve"> PAGEREF _Toc25730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2062928D">
          <w:pPr>
            <w:pStyle w:val="20"/>
            <w:tabs>
              <w:tab w:val="right" w:leader="dot" w:pos="8306"/>
              <w:tab w:val="clear" w:pos="9457"/>
            </w:tabs>
          </w:pPr>
          <w:r>
            <w:fldChar w:fldCharType="begin"/>
          </w:r>
          <w:r>
            <w:instrText xml:space="preserve"> HYPERLINK \l _Toc32384 </w:instrText>
          </w:r>
          <w:r>
            <w:fldChar w:fldCharType="separate"/>
          </w:r>
          <w:r>
            <w:rPr>
              <w:rFonts w:hint="eastAsia"/>
              <w:bCs w:val="0"/>
            </w:rPr>
            <w:t xml:space="preserve">13 </w:t>
          </w:r>
          <w:r>
            <w:rPr>
              <w:bCs w:val="0"/>
            </w:rPr>
            <w:t>部署方案与资源需求</w:t>
          </w:r>
          <w:r>
            <w:tab/>
          </w:r>
          <w:r>
            <w:fldChar w:fldCharType="begin"/>
          </w:r>
          <w:r>
            <w:instrText xml:space="preserve"> PAGEREF _Toc32384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0657EA52">
          <w:pPr>
            <w:pStyle w:val="20"/>
            <w:tabs>
              <w:tab w:val="right" w:leader="dot" w:pos="8306"/>
              <w:tab w:val="clear" w:pos="9457"/>
            </w:tabs>
          </w:pPr>
          <w:r>
            <w:fldChar w:fldCharType="begin"/>
          </w:r>
          <w:r>
            <w:instrText xml:space="preserve"> HYPERLINK \l _Toc8072 </w:instrText>
          </w:r>
          <w:r>
            <w:fldChar w:fldCharType="separate"/>
          </w:r>
          <w:r>
            <w:rPr>
              <w:rFonts w:hint="eastAsia"/>
              <w:bCs w:val="0"/>
            </w:rPr>
            <w:t xml:space="preserve">14 </w:t>
          </w:r>
          <w:r>
            <w:rPr>
              <w:bCs w:val="0"/>
            </w:rPr>
            <w:t>异常 降级与运行保障方案</w:t>
          </w:r>
          <w:r>
            <w:tab/>
          </w:r>
          <w:r>
            <w:fldChar w:fldCharType="begin"/>
          </w:r>
          <w:r>
            <w:instrText xml:space="preserve"> PAGEREF _Toc8072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4B2CD047">
          <w:pPr>
            <w:pStyle w:val="20"/>
            <w:tabs>
              <w:tab w:val="right" w:leader="dot" w:pos="8306"/>
              <w:tab w:val="clear" w:pos="9457"/>
            </w:tabs>
          </w:pPr>
          <w:r>
            <w:fldChar w:fldCharType="begin"/>
          </w:r>
          <w:r>
            <w:instrText xml:space="preserve"> HYPERLINK \l _Toc6491 </w:instrText>
          </w:r>
          <w:r>
            <w:fldChar w:fldCharType="separate"/>
          </w:r>
          <w:r>
            <w:rPr>
              <w:rFonts w:hint="eastAsia"/>
              <w:bCs w:val="0"/>
            </w:rPr>
            <w:t xml:space="preserve">15 </w:t>
          </w:r>
          <w:r>
            <w:rPr>
              <w:bCs w:val="0"/>
            </w:rPr>
            <w:t>项目实施计划与工作分解</w:t>
          </w:r>
          <w:r>
            <w:tab/>
          </w:r>
          <w:r>
            <w:fldChar w:fldCharType="begin"/>
          </w:r>
          <w:r>
            <w:instrText xml:space="preserve"> PAGEREF _Toc6491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3DF942C0">
          <w:pPr>
            <w:pStyle w:val="20"/>
            <w:tabs>
              <w:tab w:val="right" w:leader="dot" w:pos="8306"/>
              <w:tab w:val="clear" w:pos="9457"/>
            </w:tabs>
          </w:pPr>
          <w:r>
            <w:fldChar w:fldCharType="begin"/>
          </w:r>
          <w:r>
            <w:instrText xml:space="preserve"> HYPERLINK \l _Toc22352 </w:instrText>
          </w:r>
          <w:r>
            <w:fldChar w:fldCharType="separate"/>
          </w:r>
          <w:r>
            <w:rPr>
              <w:rFonts w:hint="eastAsia"/>
              <w:bCs w:val="0"/>
            </w:rPr>
            <w:t xml:space="preserve">16 </w:t>
          </w:r>
          <w:r>
            <w:rPr>
              <w:bCs w:val="0"/>
            </w:rPr>
            <w:t>各方责任与前置条件</w:t>
          </w:r>
          <w:r>
            <w:tab/>
          </w:r>
          <w:r>
            <w:fldChar w:fldCharType="begin"/>
          </w:r>
          <w:r>
            <w:instrText xml:space="preserve"> PAGEREF _Toc22352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7DF5AB7B">
          <w:pPr>
            <w:pStyle w:val="20"/>
            <w:tabs>
              <w:tab w:val="right" w:leader="dot" w:pos="8306"/>
              <w:tab w:val="clear" w:pos="9457"/>
            </w:tabs>
          </w:pPr>
          <w:r>
            <w:fldChar w:fldCharType="begin"/>
          </w:r>
          <w:r>
            <w:instrText xml:space="preserve"> HYPERLINK \l _Toc5266 </w:instrText>
          </w:r>
          <w:r>
            <w:fldChar w:fldCharType="separate"/>
          </w:r>
          <w:r>
            <w:rPr>
              <w:rFonts w:hint="eastAsia"/>
              <w:bCs w:val="0"/>
            </w:rPr>
            <w:t xml:space="preserve">17 </w:t>
          </w:r>
          <w:r>
            <w:rPr>
              <w:bCs w:val="0"/>
            </w:rPr>
            <w:t>验收方案</w:t>
          </w:r>
          <w:r>
            <w:tab/>
          </w:r>
          <w:r>
            <w:fldChar w:fldCharType="begin"/>
          </w:r>
          <w:r>
            <w:instrText xml:space="preserve"> PAGEREF _Toc5266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508002A8">
          <w:pPr>
            <w:pStyle w:val="20"/>
            <w:tabs>
              <w:tab w:val="right" w:leader="dot" w:pos="8306"/>
              <w:tab w:val="clear" w:pos="9457"/>
            </w:tabs>
          </w:pPr>
          <w:r>
            <w:fldChar w:fldCharType="begin"/>
          </w:r>
          <w:r>
            <w:instrText xml:space="preserve"> HYPERLINK \l _Toc19225 </w:instrText>
          </w:r>
          <w:r>
            <w:fldChar w:fldCharType="separate"/>
          </w:r>
          <w:r>
            <w:rPr>
              <w:rFonts w:hint="eastAsia"/>
              <w:bCs w:val="0"/>
            </w:rPr>
            <w:t xml:space="preserve">18 </w:t>
          </w:r>
          <w:r>
            <w:rPr>
              <w:bCs w:val="0"/>
            </w:rPr>
            <w:t>建设依据</w:t>
          </w:r>
          <w:r>
            <w:rPr>
              <w:rFonts w:hint="eastAsia"/>
              <w:bCs w:val="0"/>
              <w:lang w:eastAsia="zh-CN"/>
            </w:rPr>
            <w:t>、</w:t>
          </w:r>
          <w:r>
            <w:rPr>
              <w:bCs w:val="0"/>
            </w:rPr>
            <w:t>待落实事项与变更管理</w:t>
          </w:r>
          <w:r>
            <w:tab/>
          </w:r>
          <w:r>
            <w:fldChar w:fldCharType="begin"/>
          </w:r>
          <w:r>
            <w:instrText xml:space="preserve"> PAGEREF _Toc19225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35AE114B">
          <w:pPr>
            <w:pStyle w:val="20"/>
            <w:tabs>
              <w:tab w:val="right" w:leader="dot" w:pos="8306"/>
              <w:tab w:val="clear" w:pos="9457"/>
            </w:tabs>
          </w:pPr>
          <w:r>
            <w:fldChar w:fldCharType="begin"/>
          </w:r>
          <w:r>
            <w:instrText xml:space="preserve"> HYPERLINK \l _Toc8591 </w:instrText>
          </w:r>
          <w:r>
            <w:fldChar w:fldCharType="separate"/>
          </w:r>
          <w:r>
            <w:rPr>
              <w:rFonts w:hint="eastAsia"/>
              <w:bCs w:val="0"/>
            </w:rPr>
            <w:t xml:space="preserve">19 </w:t>
          </w:r>
          <w:r>
            <w:rPr>
              <w:bCs w:val="0"/>
            </w:rPr>
            <w:t>详细技术实施基线</w:t>
          </w:r>
          <w:r>
            <w:tab/>
          </w:r>
          <w:r>
            <w:fldChar w:fldCharType="begin"/>
          </w:r>
          <w:r>
            <w:instrText xml:space="preserve"> PAGEREF _Toc8591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044FDA43">
          <w:r>
            <w:fldChar w:fldCharType="end"/>
          </w:r>
        </w:p>
      </w:sdtContent>
    </w:sdt>
    <w:p w14:paraId="7BC4057E"/>
    <w:p w14:paraId="5887DB2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br w:type="page"/>
      </w:r>
    </w:p>
    <w:p w14:paraId="4B72D582">
      <w:pPr>
        <w:pStyle w:val="81"/>
        <w:rPr>
          <w:rFonts w:hint="eastAsia"/>
        </w:rPr>
      </w:pPr>
    </w:p>
    <w:p w14:paraId="1EB2EB1E">
      <w:pPr>
        <w:pStyle w:val="80"/>
        <w:keepNext/>
        <w:keepLines/>
        <w:rPr>
          <w:b w:val="0"/>
          <w:bCs w:val="0"/>
        </w:rPr>
      </w:pPr>
      <w:bookmarkStart w:id="61" w:name="_Toc19745"/>
      <w:r>
        <w:rPr>
          <w:rFonts w:hint="eastAsia"/>
          <w:b w:val="0"/>
          <w:bCs w:val="0"/>
          <w:lang w:val="en-US" w:eastAsia="zh-CN"/>
        </w:rPr>
        <w:t>总则</w:t>
      </w:r>
      <w:bookmarkEnd w:id="61"/>
    </w:p>
    <w:p w14:paraId="13C17CFB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方案</w:t>
      </w:r>
      <w:r>
        <w:rPr>
          <w:rFonts w:hint="eastAsia"/>
          <w:b w:val="0"/>
          <w:bCs w:val="0"/>
          <w:lang w:val="en-US" w:eastAsia="zh-CN"/>
        </w:rPr>
        <w:t>定位</w:t>
      </w:r>
    </w:p>
    <w:p w14:paraId="6FC1EAC0">
      <w:pPr>
        <w:pStyle w:val="81"/>
        <w:rPr>
          <w:b w:val="0"/>
          <w:bCs w:val="0"/>
        </w:rPr>
      </w:pPr>
      <w:r>
        <w:rPr>
          <w:b w:val="0"/>
          <w:bCs w:val="0"/>
        </w:rPr>
        <w:t>本方案用于指导工业图像智能检测智能体平台的任务拆解、系统开发、专业工具接入、离线部署和联合验收。建设主线不是简单汇集六个算法页面，而是形成一个统一的业务平台：平台管理用户、数据、任务、版本和报告，大模型负责理解与解释，专业工具负责确定性的检测、标注、训练和评估。</w:t>
      </w:r>
    </w:p>
    <w:p w14:paraId="2B1819AA">
      <w:pPr>
        <w:pStyle w:val="81"/>
        <w:rPr>
          <w:b w:val="0"/>
          <w:bCs w:val="0"/>
        </w:rPr>
      </w:pPr>
      <w:r>
        <w:rPr>
          <w:b w:val="0"/>
          <w:bCs w:val="0"/>
        </w:rPr>
        <w:t>本期应先完成六项检测能力的端到端闭环，再并行建设标注、数据集、训练、评估、发布、知识和报告能力。所有专业工具独立执行；同一张或同组图像只路由到一个明确工具，多专业需求拆为关联任务，不设计无依据的跨工具自动串联。</w:t>
      </w:r>
    </w:p>
    <w:p w14:paraId="18F02C4B">
      <w:pPr>
        <w:pStyle w:val="86"/>
        <w:bidi w:val="0"/>
        <w:rPr>
          <w:b w:val="0"/>
          <w:bCs w:val="0"/>
        </w:rPr>
      </w:pPr>
      <w:r>
        <w:rPr>
          <w:b w:val="0"/>
          <w:bCs w:val="0"/>
        </w:rPr>
        <w:t>建设目标</w:t>
      </w:r>
    </w:p>
    <w:p w14:paraId="377ADB46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建设目标与完成标志</w:t>
      </w:r>
    </w:p>
    <w:tbl>
      <w:tblPr>
        <w:tblStyle w:val="27"/>
        <w:tblW w:w="8307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3"/>
        <w:gridCol w:w="3118"/>
        <w:gridCol w:w="3406"/>
      </w:tblGrid>
      <w:tr w14:paraId="702E4E4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8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D23C4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目标</w:t>
            </w:r>
          </w:p>
        </w:tc>
        <w:tc>
          <w:tcPr>
            <w:tcW w:w="311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12428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建设内容</w:t>
            </w:r>
          </w:p>
        </w:tc>
        <w:tc>
          <w:tcPr>
            <w:tcW w:w="340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1B069E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完成标志</w:t>
            </w:r>
          </w:p>
        </w:tc>
      </w:tr>
      <w:tr w14:paraId="2EA5871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8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53677C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统一入口</w:t>
            </w:r>
          </w:p>
        </w:tc>
        <w:tc>
          <w:tcPr>
            <w:tcW w:w="311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557C2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提供智能对话、六项专业工作台、统一任务中心和知识中心。</w:t>
            </w:r>
          </w:p>
        </w:tc>
        <w:tc>
          <w:tcPr>
            <w:tcW w:w="340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A3E23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不同入口创建的任务进入同一任务事实源，可互相打开和追踪。</w:t>
            </w:r>
          </w:p>
        </w:tc>
      </w:tr>
      <w:tr w14:paraId="5D4248B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8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1FEA7E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检测闭环</w:t>
            </w:r>
          </w:p>
        </w:tc>
        <w:tc>
          <w:tcPr>
            <w:tcW w:w="311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04126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完成上传、校验、路由、执行、结果、复核、报告和归档。</w:t>
            </w:r>
          </w:p>
        </w:tc>
        <w:tc>
          <w:tcPr>
            <w:tcW w:w="340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BECFC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六项工具均通过正常、异常、边界和中断恢复用例。</w:t>
            </w:r>
          </w:p>
        </w:tc>
      </w:tr>
      <w:tr w14:paraId="428FE6D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8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BC212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能力治理</w:t>
            </w:r>
          </w:p>
        </w:tc>
        <w:tc>
          <w:tcPr>
            <w:tcW w:w="311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DC3D8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统一管理工具、模型、参数、结果Schema、版本和健康状态。</w:t>
            </w:r>
          </w:p>
        </w:tc>
        <w:tc>
          <w:tcPr>
            <w:tcW w:w="340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AF6B4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任务可追溯到固定工具版本、模型版本、输入和参数。</w:t>
            </w:r>
          </w:p>
        </w:tc>
      </w:tr>
      <w:tr w14:paraId="36B0449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8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62852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模型迭代</w:t>
            </w:r>
          </w:p>
        </w:tc>
        <w:tc>
          <w:tcPr>
            <w:tcW w:w="311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5F8AC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贯通标注、数据集冻结、训练、评估、发布和回滚。</w:t>
            </w:r>
          </w:p>
        </w:tc>
        <w:tc>
          <w:tcPr>
            <w:tcW w:w="340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CA7FF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候选模型未经评估和授权不得成为生产默认版本。</w:t>
            </w:r>
          </w:p>
        </w:tc>
      </w:tr>
      <w:tr w14:paraId="7D7F835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8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341251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离线运行</w:t>
            </w:r>
          </w:p>
        </w:tc>
        <w:tc>
          <w:tcPr>
            <w:tcW w:w="311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9987B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在中科方德NFC Server 4.0物理机环境原生部署。</w:t>
            </w:r>
          </w:p>
        </w:tc>
        <w:tc>
          <w:tcPr>
            <w:tcW w:w="340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2B731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断公网、无Docker条件下完成安装、启动、调用、恢复和备份验证。</w:t>
            </w:r>
          </w:p>
        </w:tc>
      </w:tr>
    </w:tbl>
    <w:p w14:paraId="458E8496">
      <w:pPr>
        <w:pStyle w:val="81"/>
        <w:spacing w:after="0"/>
        <w:rPr>
          <w:b w:val="0"/>
          <w:bCs w:val="0"/>
        </w:rPr>
      </w:pPr>
    </w:p>
    <w:p w14:paraId="648A5380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范围与边界</w:t>
      </w:r>
    </w:p>
    <w:p w14:paraId="7DFE011A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建设范围</w:t>
      </w:r>
    </w:p>
    <w:tbl>
      <w:tblPr>
        <w:tblStyle w:val="27"/>
        <w:tblW w:w="8307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1E6DB62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037E87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范围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D4252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本期纳入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E9D41C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本期边界</w:t>
            </w:r>
          </w:p>
        </w:tc>
      </w:tr>
      <w:tr w14:paraId="30240E5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D70A2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专业能力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DFA82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荧光、孔探、热部图像、X射线、断口、金相六项检测能力。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864C3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各工具独立接入，不重建专业算法，不默认交叉调用。</w:t>
            </w:r>
          </w:p>
        </w:tc>
      </w:tr>
      <w:tr w14:paraId="5C25988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B08FD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业务功能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C298E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智能检测、能力中心、任务中心（含结果复核与报告）、知识中心、模型工坊、工具服务中心和后台管理。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1EB5E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电子签章、外部业务系统大规模改造不作为默认范围。</w:t>
            </w:r>
          </w:p>
        </w:tc>
      </w:tr>
      <w:tr w14:paraId="443808D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E8F2D7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工具链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FF365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标注、数据集、训练、评估、模型发布/回滚的统一发起与治理。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7DA55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训练算法和专业标注逻辑由工具团队提供；平台不替代。</w:t>
            </w:r>
          </w:p>
        </w:tc>
      </w:tr>
      <w:tr w14:paraId="1666C34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14DCC8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知识能力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8570F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专业资料入库、RAG检索、内网知识采集智能体。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43C87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采集范围限白名单和授权内容，禁止无边界全站抓取。</w:t>
            </w:r>
          </w:p>
        </w:tc>
      </w:tr>
      <w:tr w14:paraId="3C8F265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5A702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运行环境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DC353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国产化通用机、完全离线、原生进程部署、达梦和Ceph。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2E181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不使用Docker，不依赖公网软件源和运行时下载。</w:t>
            </w:r>
          </w:p>
        </w:tc>
      </w:tr>
    </w:tbl>
    <w:p w14:paraId="76F33694">
      <w:pPr>
        <w:pStyle w:val="81"/>
        <w:spacing w:after="0"/>
        <w:rPr>
          <w:b w:val="0"/>
          <w:bCs w:val="0"/>
        </w:rPr>
      </w:pPr>
    </w:p>
    <w:p w14:paraId="00E7F5F8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实施原则</w:t>
      </w:r>
    </w:p>
    <w:p w14:paraId="06445A9B">
      <w:pPr>
        <w:pStyle w:val="113"/>
        <w:rPr>
          <w:b w:val="0"/>
          <w:bCs w:val="0"/>
        </w:rPr>
      </w:pPr>
      <w:r>
        <w:rPr>
          <w:b w:val="0"/>
          <w:bCs w:val="0"/>
        </w:rPr>
        <w:t>先冻结契约再并行开发：先明确输入、输出、错误、版本和资源，再开展平台与工具两侧实现。</w:t>
      </w:r>
    </w:p>
    <w:p w14:paraId="5372C2D2">
      <w:pPr>
        <w:pStyle w:val="113"/>
        <w:rPr>
          <w:b w:val="0"/>
          <w:bCs w:val="0"/>
        </w:rPr>
      </w:pPr>
      <w:r>
        <w:rPr>
          <w:b w:val="0"/>
          <w:bCs w:val="0"/>
        </w:rPr>
        <w:t>确定性服务掌管事实：权限、任务状态、数值、版本、审计和报告模板由业务服务处理，大模型不直接修改事实。</w:t>
      </w:r>
    </w:p>
    <w:p w14:paraId="5A08415A">
      <w:pPr>
        <w:pStyle w:val="113"/>
        <w:rPr>
          <w:b w:val="0"/>
          <w:bCs w:val="0"/>
        </w:rPr>
      </w:pPr>
      <w:r>
        <w:rPr>
          <w:b w:val="0"/>
          <w:bCs w:val="0"/>
        </w:rPr>
        <w:t>先单工具贯通再扩六项：以接口成熟度最高的工具完成首个闭环，再复制适配模式，不把首个试点等同于最终架构。</w:t>
      </w:r>
    </w:p>
    <w:p w14:paraId="0A99C638">
      <w:pPr>
        <w:pStyle w:val="113"/>
        <w:rPr>
          <w:b w:val="0"/>
          <w:bCs w:val="0"/>
        </w:rPr>
      </w:pPr>
      <w:r>
        <w:rPr>
          <w:b w:val="0"/>
          <w:bCs w:val="0"/>
        </w:rPr>
        <w:t>估算值不作为验收证据：工作簿中的设计预期和估算值只能用于规划，最终以目标环境实测记录为准。</w:t>
      </w:r>
    </w:p>
    <w:p w14:paraId="0151EEED">
      <w:pPr>
        <w:pStyle w:val="113"/>
        <w:rPr>
          <w:b w:val="0"/>
          <w:bCs w:val="0"/>
        </w:rPr>
      </w:pPr>
      <w:r>
        <w:rPr>
          <w:b w:val="0"/>
          <w:bCs w:val="0"/>
        </w:rPr>
        <w:t>问题前置：专业语义、环境兼容和资源缺口进入G0清单，未解决项不得以开发完成替代。</w:t>
      </w:r>
    </w:p>
    <w:p w14:paraId="04D4D207">
      <w:pPr>
        <w:pStyle w:val="80"/>
        <w:keepNext/>
        <w:keepLines/>
        <w:rPr>
          <w:b w:val="0"/>
          <w:bCs w:val="0"/>
        </w:rPr>
      </w:pPr>
      <w:bookmarkStart w:id="62" w:name="_Toc25289"/>
      <w:r>
        <w:rPr>
          <w:b w:val="0"/>
          <w:bCs w:val="0"/>
        </w:rPr>
        <w:t>总体业务方案</w:t>
      </w:r>
      <w:bookmarkEnd w:id="62"/>
    </w:p>
    <w:p w14:paraId="29E7BEA6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业务对象和使用角色</w:t>
      </w:r>
    </w:p>
    <w:p w14:paraId="7D7745F9">
      <w:pPr>
        <w:pStyle w:val="81"/>
        <w:rPr>
          <w:b w:val="0"/>
          <w:bCs w:val="0"/>
        </w:rPr>
      </w:pPr>
      <w:r>
        <w:rPr>
          <w:b w:val="0"/>
          <w:bCs w:val="0"/>
        </w:rPr>
        <w:t>平台围绕项目、业务对象、图像资产、检测任务、专业结果、复核记录、知识文档、数据集、模型版本和报告组织业务。检测人员负责提交与查看；专业复核人员负责确认专业结论；算法人员负责标注和模型迭代；平台管理员负责能力、权限和运行配置。</w:t>
      </w:r>
    </w:p>
    <w:p w14:paraId="37EF3D79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角色与主要工作</w:t>
      </w:r>
    </w:p>
    <w:tbl>
      <w:tblPr>
        <w:tblStyle w:val="27"/>
        <w:tblW w:w="8304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8"/>
        <w:gridCol w:w="2504"/>
        <w:gridCol w:w="2076"/>
        <w:gridCol w:w="2076"/>
      </w:tblGrid>
      <w:tr w14:paraId="06445A7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4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81D67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角色</w:t>
            </w:r>
          </w:p>
        </w:tc>
        <w:tc>
          <w:tcPr>
            <w:tcW w:w="250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5F4FBC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主要操作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ED9168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默认数据范围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4A8F1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关键限制</w:t>
            </w:r>
          </w:p>
        </w:tc>
      </w:tr>
      <w:tr w14:paraId="4E9B4BA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B8EC6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检测人员</w:t>
            </w:r>
          </w:p>
        </w:tc>
        <w:tc>
          <w:tcPr>
            <w:tcW w:w="250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714CE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上传、创建检测、查看进度和结果、申请报告。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8C7BE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本人或授权项目。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496FF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不能发布模型或修改专业结论。</w:t>
            </w:r>
          </w:p>
        </w:tc>
      </w:tr>
      <w:tr w14:paraId="4B548E0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928363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专业复核人员</w:t>
            </w:r>
          </w:p>
        </w:tc>
        <w:tc>
          <w:tcPr>
            <w:tcW w:w="250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0F13C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复核结果、补充结论、确认反馈样本、批准专业报告。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A0510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授权专业和项目。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81B7D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模型原始输出只读保留。</w:t>
            </w:r>
          </w:p>
        </w:tc>
      </w:tr>
      <w:tr w14:paraId="6EADCB2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516A4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算法人员</w:t>
            </w:r>
          </w:p>
        </w:tc>
        <w:tc>
          <w:tcPr>
            <w:tcW w:w="250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EB21A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标注、数据集冻结、训练、评估和候选模型提交。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3CC3A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授权工具及数据集。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B0759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训练结束不能自动发布。</w:t>
            </w:r>
          </w:p>
        </w:tc>
      </w:tr>
      <w:tr w14:paraId="16DDD38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A58B4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发布管理员</w:t>
            </w:r>
          </w:p>
        </w:tc>
        <w:tc>
          <w:tcPr>
            <w:tcW w:w="250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54350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模型发布、回滚、参数模板和版本配置。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1A95F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授权环境。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D36AF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发布须引用评估和确认记录。</w:t>
            </w:r>
          </w:p>
        </w:tc>
      </w:tr>
      <w:tr w14:paraId="2D42507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01E903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平台管理员</w:t>
            </w:r>
          </w:p>
        </w:tc>
        <w:tc>
          <w:tcPr>
            <w:tcW w:w="250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F7A8B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用户角色、能力注册、配置、审计和运行管理。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4C83D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管理范围内全局。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2C2EB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凭证仅可替换，不可明文读回。</w:t>
            </w:r>
          </w:p>
        </w:tc>
      </w:tr>
    </w:tbl>
    <w:p w14:paraId="08B7655E">
      <w:pPr>
        <w:pStyle w:val="81"/>
        <w:spacing w:after="0"/>
        <w:rPr>
          <w:b w:val="0"/>
          <w:bCs w:val="0"/>
        </w:rPr>
      </w:pPr>
    </w:p>
    <w:p w14:paraId="512723AB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三条业务主线</w:t>
      </w:r>
    </w:p>
    <w:p w14:paraId="31A3FE85">
      <w:pPr>
        <w:pStyle w:val="87"/>
        <w:keepNext/>
        <w:keepLines/>
        <w:rPr>
          <w:b w:val="0"/>
          <w:bCs w:val="0"/>
        </w:rPr>
      </w:pPr>
      <w:r>
        <w:rPr>
          <w:b w:val="0"/>
          <w:bCs w:val="0"/>
        </w:rPr>
        <w:t>智能检测主线</w:t>
      </w:r>
    </w:p>
    <w:p w14:paraId="69970FA4">
      <w:pPr>
        <w:pStyle w:val="81"/>
        <w:rPr>
          <w:b w:val="0"/>
          <w:bCs w:val="0"/>
        </w:rPr>
      </w:pPr>
      <w:r>
        <w:rPr>
          <w:b w:val="0"/>
          <w:bCs w:val="0"/>
        </w:rPr>
        <w:t>用户提交目标和图像后，平台确定专业能力并补齐必要参数，创建检测任务；执行器调用固定版本的专业工具，结果进入统一结果库；专业人员复核后，知识服务提供依据，报告服务生成可归档版本。</w:t>
      </w:r>
    </w:p>
    <w:p w14:paraId="73579599">
      <w:pPr>
        <w:pStyle w:val="87"/>
        <w:keepNext/>
        <w:keepLines/>
        <w:rPr>
          <w:b w:val="0"/>
          <w:bCs w:val="0"/>
        </w:rPr>
      </w:pPr>
      <w:r>
        <w:rPr>
          <w:b w:val="0"/>
          <w:bCs w:val="0"/>
        </w:rPr>
        <w:t>模型迭代主线</w:t>
      </w:r>
    </w:p>
    <w:p w14:paraId="21583A4D">
      <w:pPr>
        <w:pStyle w:val="81"/>
        <w:rPr>
          <w:b w:val="0"/>
          <w:bCs w:val="0"/>
        </w:rPr>
      </w:pPr>
      <w:r>
        <w:rPr>
          <w:b w:val="0"/>
          <w:bCs w:val="0"/>
        </w:rPr>
        <w:t>误检、漏检或争议结果进入候选样本池，经专业确认后形成标注任务；标注通过复核后可冻结为数据集版本，再用于训练、评估、发布或回滚。反馈不自动训练，训练不自动发布，发布不改写历史任务。</w:t>
      </w:r>
    </w:p>
    <w:p w14:paraId="6A772E5B">
      <w:pPr>
        <w:pStyle w:val="87"/>
        <w:keepNext/>
        <w:keepLines/>
        <w:rPr>
          <w:b w:val="0"/>
          <w:bCs w:val="0"/>
        </w:rPr>
      </w:pPr>
      <w:r>
        <w:rPr>
          <w:b w:val="0"/>
          <w:bCs w:val="0"/>
        </w:rPr>
        <w:t>知识建设主线</w:t>
      </w:r>
    </w:p>
    <w:p w14:paraId="198430B9">
      <w:pPr>
        <w:pStyle w:val="81"/>
        <w:rPr>
          <w:b w:val="0"/>
          <w:bCs w:val="0"/>
        </w:rPr>
      </w:pPr>
      <w:r>
        <w:rPr>
          <w:b w:val="0"/>
          <w:bCs w:val="0"/>
        </w:rPr>
        <w:t>专业团队提交权威资料，采集智能体从白名单内网系统按条件获取存量资料；两类资料统一解析、分类、权限映射、索引和引用，回答始终保留来源和版本。</w:t>
      </w:r>
    </w:p>
    <w:p w14:paraId="64014DCE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两类入口 一个任务事实源</w:t>
      </w:r>
    </w:p>
    <w:p w14:paraId="3A849DAB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业务入口与系统行为</w:t>
      </w:r>
    </w:p>
    <w:tbl>
      <w:tblPr>
        <w:tblStyle w:val="27"/>
        <w:tblW w:w="8304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6"/>
        <w:gridCol w:w="2426"/>
        <w:gridCol w:w="2076"/>
        <w:gridCol w:w="2076"/>
      </w:tblGrid>
      <w:tr w14:paraId="76558CB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2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B4A9F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入口</w:t>
            </w:r>
          </w:p>
        </w:tc>
        <w:tc>
          <w:tcPr>
            <w:tcW w:w="242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EB0325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用户操作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46D66C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平台行为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FDEB98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最终对象</w:t>
            </w:r>
          </w:p>
        </w:tc>
      </w:tr>
      <w:tr w14:paraId="035B5EE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F54203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智能对话</w:t>
            </w:r>
          </w:p>
        </w:tc>
        <w:tc>
          <w:tcPr>
            <w:tcW w:w="242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BDDDF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描述目标、上传图像、回答澄清问题。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F8ECB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路由候选能力，展示参数来源，确认后调用任务服务。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1B4FC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Task及关联Conversation。</w:t>
            </w:r>
          </w:p>
        </w:tc>
      </w:tr>
      <w:tr w14:paraId="6CC7408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53E5A6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专业工作台</w:t>
            </w:r>
          </w:p>
        </w:tc>
        <w:tc>
          <w:tcPr>
            <w:tcW w:w="242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A42F5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选择专业、填写专业参数、提交文件。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23FC6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按同一Schema校验并调用同一任务服务。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C18F9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同一Task模型。</w:t>
            </w:r>
          </w:p>
        </w:tc>
      </w:tr>
      <w:tr w14:paraId="433D7C6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21934C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任务中心</w:t>
            </w:r>
          </w:p>
        </w:tc>
        <w:tc>
          <w:tcPr>
            <w:tcW w:w="242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8739E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查询、筛选、取消、重试、进入结果页。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F637E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从业务数据库读取事实，不向工具临时拼接状态。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10DC9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Task、TaskItem、Event。</w:t>
            </w:r>
          </w:p>
        </w:tc>
      </w:tr>
      <w:tr w14:paraId="0E17C26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E38E7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结果与报告</w:t>
            </w:r>
          </w:p>
        </w:tc>
        <w:tc>
          <w:tcPr>
            <w:tcW w:w="242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EBD1E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复核、引用知识、生成报告。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0DA29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原始结果、AI解释、人工结论分区保存。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54C12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ReviewRevision、ReportVersion。</w:t>
            </w:r>
          </w:p>
        </w:tc>
      </w:tr>
    </w:tbl>
    <w:p w14:paraId="204CABFF">
      <w:pPr>
        <w:pStyle w:val="81"/>
        <w:spacing w:after="0"/>
        <w:rPr>
          <w:b w:val="0"/>
          <w:bCs w:val="0"/>
        </w:rPr>
      </w:pPr>
    </w:p>
    <w:p w14:paraId="02EE5B4B">
      <w:pPr>
        <w:pStyle w:val="80"/>
        <w:keepNext/>
        <w:keepLines/>
        <w:rPr>
          <w:b w:val="0"/>
          <w:bCs w:val="0"/>
        </w:rPr>
      </w:pPr>
      <w:bookmarkStart w:id="63" w:name="_Toc15717"/>
      <w:r>
        <w:rPr>
          <w:b w:val="0"/>
          <w:bCs w:val="0"/>
        </w:rPr>
        <w:t>总体功能架构</w:t>
      </w:r>
      <w:bookmarkEnd w:id="63"/>
    </w:p>
    <w:p w14:paraId="48DA611D">
      <w:pPr>
        <w:pStyle w:val="81"/>
        <w:rPr>
          <w:b w:val="0"/>
          <w:bCs w:val="0"/>
        </w:rPr>
      </w:pPr>
      <w:r>
        <w:rPr>
          <w:b w:val="0"/>
          <w:bCs w:val="0"/>
        </w:rPr>
        <w:t>平台采用用户访问、智能应用、平台支撑、能力服务、数据与基础设施五层结构。六项专业工作台不是六套孤立系统，而是共享资产、任务、权限、版本和审计能力的专业前端。</w:t>
      </w:r>
    </w:p>
    <w:p w14:paraId="75D80C75">
      <w:pPr>
        <w:keepNext/>
        <w:jc w:val="center"/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drawing>
          <wp:inline distT="0" distB="0" distL="114300" distR="114300">
            <wp:extent cx="5243830" cy="2368550"/>
            <wp:effectExtent l="0" t="0" r="13970" b="8890"/>
            <wp:docPr id="7" name="图片 7" descr="菜单结构图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菜单结构图 (3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383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9A6B">
      <w:pPr>
        <w:pStyle w:val="99"/>
        <w:jc w:val="center"/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菜单结构图</w:t>
      </w:r>
    </w:p>
    <w:p w14:paraId="1030AF5E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功能模块建设清单</w:t>
      </w:r>
    </w:p>
    <w:tbl>
      <w:tblPr>
        <w:tblStyle w:val="27"/>
        <w:tblW w:w="8307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4"/>
        <w:gridCol w:w="3078"/>
        <w:gridCol w:w="3175"/>
      </w:tblGrid>
      <w:tr w14:paraId="4A05E0E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EBAB77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一级模块</w:t>
            </w:r>
          </w:p>
        </w:tc>
        <w:tc>
          <w:tcPr>
            <w:tcW w:w="307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CC0FC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二级功能</w:t>
            </w:r>
          </w:p>
        </w:tc>
        <w:tc>
          <w:tcPr>
            <w:tcW w:w="317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A2B715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主要交付</w:t>
            </w:r>
          </w:p>
        </w:tc>
      </w:tr>
      <w:tr w14:paraId="47E765A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43EC07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统一工作台</w:t>
            </w:r>
          </w:p>
        </w:tc>
        <w:tc>
          <w:tcPr>
            <w:tcW w:w="307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87D31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首页、智能检测、能力中心、任务中心、知识中心、模型工坊、工具服务中心、后台管理</w:t>
            </w:r>
          </w:p>
        </w:tc>
        <w:tc>
          <w:tcPr>
            <w:tcW w:w="317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B36A4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页面、路由、权限菜单、通用交互规范</w:t>
            </w:r>
          </w:p>
        </w:tc>
      </w:tr>
      <w:tr w14:paraId="2D9CF19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A10BC6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智能中枢</w:t>
            </w:r>
          </w:p>
        </w:tc>
        <w:tc>
          <w:tcPr>
            <w:tcW w:w="307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04A2C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意图理解、能力选择、参数补齐、知识问答、结果解释</w:t>
            </w:r>
          </w:p>
        </w:tc>
        <w:tc>
          <w:tcPr>
            <w:tcW w:w="317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D218D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Dify/LangGraph流程、提示词、工具调用协议、引用规则</w:t>
            </w:r>
          </w:p>
        </w:tc>
      </w:tr>
      <w:tr w14:paraId="246BB3E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2F49E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任务与资产</w:t>
            </w:r>
          </w:p>
        </w:tc>
        <w:tc>
          <w:tcPr>
            <w:tcW w:w="307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D5D35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上传、任务、队列、状态、结果、复核、报告</w:t>
            </w:r>
          </w:p>
        </w:tc>
        <w:tc>
          <w:tcPr>
            <w:tcW w:w="317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CF0FB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业务API、状态机、对象存储、审计记录</w:t>
            </w:r>
          </w:p>
        </w:tc>
      </w:tr>
      <w:tr w14:paraId="53F2436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41A0A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工具服务中心</w:t>
            </w:r>
          </w:p>
        </w:tc>
        <w:tc>
          <w:tcPr>
            <w:tcW w:w="307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05D3C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工具、版本、模型、Schema、健康状态、配置</w:t>
            </w:r>
          </w:p>
        </w:tc>
        <w:tc>
          <w:tcPr>
            <w:tcW w:w="317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245DF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能力注册表、版本台账、配置管理</w:t>
            </w:r>
          </w:p>
        </w:tc>
      </w:tr>
      <w:tr w14:paraId="4E77F52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AADE87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能力中心</w:t>
            </w:r>
          </w:p>
        </w:tc>
        <w:tc>
          <w:tcPr>
            <w:tcW w:w="307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F92E8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专业能力说明、通用能力说明、智能体技能清单、模板库、样例与指南</w:t>
            </w:r>
          </w:p>
        </w:tc>
        <w:tc>
          <w:tcPr>
            <w:tcW w:w="317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98073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能力说明页面、模板浏览界面、样例库</w:t>
            </w:r>
          </w:p>
        </w:tc>
      </w:tr>
      <w:tr w14:paraId="46F8109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E9F1D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模型迭代</w:t>
            </w:r>
          </w:p>
        </w:tc>
        <w:tc>
          <w:tcPr>
            <w:tcW w:w="307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136FC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标注、数据集、训练、评估、发布、回滚</w:t>
            </w:r>
          </w:p>
        </w:tc>
        <w:tc>
          <w:tcPr>
            <w:tcW w:w="317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C04AD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统一发起页面、任务类型、记录与审批</w:t>
            </w:r>
          </w:p>
        </w:tc>
      </w:tr>
      <w:tr w14:paraId="42A966F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8BB3E8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知识服务</w:t>
            </w:r>
          </w:p>
        </w:tc>
        <w:tc>
          <w:tcPr>
            <w:tcW w:w="307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C471F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资料入库、内网采集、解析、索引、检索、引用</w:t>
            </w:r>
          </w:p>
        </w:tc>
        <w:tc>
          <w:tcPr>
            <w:tcW w:w="317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4BAAE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RAGFlow对接、采集流水线、权限映射</w:t>
            </w:r>
          </w:p>
        </w:tc>
      </w:tr>
      <w:tr w14:paraId="1590ACE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2FDA2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运行管理</w:t>
            </w:r>
          </w:p>
        </w:tc>
        <w:tc>
          <w:tcPr>
            <w:tcW w:w="307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3771E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用户角色、日志、监控、备份、告警、审计</w:t>
            </w:r>
          </w:p>
        </w:tc>
        <w:tc>
          <w:tcPr>
            <w:tcW w:w="317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2839C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管理页面、运行脚本、运维手册和演练记录</w:t>
            </w:r>
          </w:p>
        </w:tc>
      </w:tr>
    </w:tbl>
    <w:p w14:paraId="09BA1655">
      <w:pPr>
        <w:pStyle w:val="81"/>
        <w:spacing w:after="0"/>
        <w:rPr>
          <w:b w:val="0"/>
          <w:bCs w:val="0"/>
        </w:rPr>
      </w:pPr>
    </w:p>
    <w:p w14:paraId="74BF4CD1">
      <w:pPr>
        <w:pStyle w:val="80"/>
        <w:keepNext/>
        <w:keepLines/>
        <w:rPr>
          <w:b w:val="0"/>
          <w:bCs w:val="0"/>
        </w:rPr>
      </w:pPr>
      <w:bookmarkStart w:id="64" w:name="_Toc12294"/>
      <w:r>
        <w:rPr>
          <w:b w:val="0"/>
          <w:bCs w:val="0"/>
        </w:rPr>
        <w:t>总体技术架构</w:t>
      </w:r>
      <w:bookmarkEnd w:id="64"/>
    </w:p>
    <w:p w14:paraId="11D5DDED">
      <w:pPr>
        <w:pStyle w:val="81"/>
        <w:ind w:left="0" w:leftChars="0" w:firstLine="0" w:firstLineChars="0"/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drawing>
          <wp:inline distT="0" distB="0" distL="114300" distR="114300">
            <wp:extent cx="5266055" cy="6504940"/>
            <wp:effectExtent l="0" t="0" r="6985" b="2540"/>
            <wp:docPr id="6" name="图片 6" descr="功能架构图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功能架构图 (4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50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9265">
      <w:pPr>
        <w:pStyle w:val="99"/>
        <w:jc w:val="center"/>
      </w:pPr>
      <w:r>
        <w:rPr>
          <w:rFonts w:hint="eastAsia"/>
          <w:b w:val="0"/>
          <w:bCs w:val="0"/>
          <w:lang w:val="en-US" w:eastAsia="zh-CN"/>
        </w:rPr>
        <w:t>总体技术架构图</w:t>
      </w:r>
    </w:p>
    <w:p w14:paraId="3353218B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架构职责</w:t>
      </w:r>
    </w:p>
    <w:p w14:paraId="71902AE4">
      <w:pPr>
        <w:pStyle w:val="81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4785" cy="4502785"/>
            <wp:effectExtent l="0" t="0" r="8255" b="8255"/>
            <wp:docPr id="1" name="图片 1" descr="逻辑架构图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逻辑架构图 (1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4136">
      <w:pPr>
        <w:pStyle w:val="99"/>
        <w:jc w:val="center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逻辑架构图</w:t>
      </w:r>
    </w:p>
    <w:p w14:paraId="48122756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技术组件职责</w:t>
      </w:r>
    </w:p>
    <w:tbl>
      <w:tblPr>
        <w:tblStyle w:val="27"/>
        <w:tblW w:w="8307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71BA9E8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D614A6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组件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2F2E5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负责内容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614D3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不得承担</w:t>
            </w:r>
          </w:p>
        </w:tc>
      </w:tr>
      <w:tr w14:paraId="018860B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BD80BE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前端工作台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0B128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交互、参数录入、状态展示、结果叠加、复核操作。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52D8A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不得直接调用专业工具或以隐藏按钮代替权限。</w:t>
            </w:r>
          </w:p>
        </w:tc>
      </w:tr>
      <w:tr w14:paraId="5A7DC10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D157FE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平台业务服务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6C98B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身份、RBAC、资产、任务、结果、报告、版本和审计。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F6B65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不得代替专业工具计算专业结果。</w:t>
            </w:r>
          </w:p>
        </w:tc>
      </w:tr>
      <w:tr w14:paraId="5807A68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3915F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大模型智能中枢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605B8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理解意图、组织澄清、生成解释、编排已注册能力。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D7619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不得自行补造标定、材料、标准或修改任务终态。</w:t>
            </w:r>
          </w:p>
        </w:tc>
      </w:tr>
      <w:tr w14:paraId="6E91872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6B430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任务执行器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A2607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领取任务、固定版本、调用适配器、轮询、重试和对账。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36351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不得把网络超时直接等同于工具未执行。</w:t>
            </w:r>
          </w:p>
        </w:tc>
      </w:tr>
      <w:tr w14:paraId="1DBD886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390B9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工具适配器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2C71C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平台Schema与原工具API的映射、错误转换和产物登记。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63790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不得改写专业算法和数值。</w:t>
            </w:r>
          </w:p>
        </w:tc>
      </w:tr>
      <w:tr w14:paraId="5FF04CC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3698D3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专业工具服务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0A86E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检测、标注校验、训练、评估、模型装载等专业能力。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000DF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不得绕过平台访问全部业务数据。</w:t>
            </w:r>
          </w:p>
        </w:tc>
      </w:tr>
      <w:tr w14:paraId="64D77EE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D3E8D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达梦与Ceph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870F0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分别保存业务关系数据和文件资产。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3FB42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对象存储地址不得直接暴露给普通用户。</w:t>
            </w:r>
          </w:p>
        </w:tc>
      </w:tr>
    </w:tbl>
    <w:p w14:paraId="34167FE4">
      <w:pPr>
        <w:pStyle w:val="81"/>
        <w:spacing w:after="0"/>
        <w:rPr>
          <w:b w:val="0"/>
          <w:bCs w:val="0"/>
        </w:rPr>
      </w:pPr>
    </w:p>
    <w:p w14:paraId="1BD6D628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关键调用链</w:t>
      </w:r>
    </w:p>
    <w:p w14:paraId="4D327E55">
      <w:pPr>
        <w:pStyle w:val="81"/>
        <w:rPr>
          <w:b w:val="0"/>
          <w:bCs w:val="0"/>
        </w:rPr>
      </w:pPr>
      <w:r>
        <w:rPr>
          <w:b w:val="0"/>
          <w:bCs w:val="0"/>
        </w:rPr>
        <w:t>用户请求经Higress进入平台。平台完成身份和权限校验，将文件登记为Asset；Dify只读取已授权的能力清单并形成建议；用户确认后，Task Service冻结工具版本、模型版本、参数和输入关系；执行器调用对应适配器，适配器调用专业API；结果经Schema校验写入达梦，图像、mask、模型和报告写入Ceph；结果服务向前端提供统一视图，并把必要结构化数据交给大模型解释。</w:t>
      </w:r>
    </w:p>
    <w:p w14:paraId="33897CCD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技术选型约束</w:t>
      </w:r>
    </w:p>
    <w:p w14:paraId="33C5A336">
      <w:pPr>
        <w:pStyle w:val="81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57800" cy="4721225"/>
            <wp:effectExtent l="0" t="0" r="0" b="3175"/>
            <wp:docPr id="8" name="图片 8" descr="技术栈架构图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技术栈架构图 (1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6CEC">
      <w:pPr>
        <w:pStyle w:val="9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技术架构图</w:t>
      </w:r>
    </w:p>
    <w:p w14:paraId="60A79596">
      <w:pPr>
        <w:pStyle w:val="113"/>
        <w:numPr>
          <w:ilvl w:val="0"/>
          <w:numId w:val="18"/>
        </w:numPr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>业务数据库使用达梦DSC；文件使用Ceph；入口治理使用Higress；智能编排使用既有Dify，并引入LangGraph承担多步骤任务的编排；知识检索使用既有RAGFlow。</w:t>
      </w:r>
    </w:p>
    <w:p w14:paraId="61B4D06E">
      <w:pPr>
        <w:pStyle w:val="113"/>
        <w:numPr>
          <w:ilvl w:val="0"/>
          <w:numId w:val="18"/>
        </w:numPr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>生产部署为完全离线物理机原生进程，不使用Docker；每项工具独立目录、虚拟环境、端口、运行账号和日志。</w:t>
      </w:r>
    </w:p>
    <w:p w14:paraId="1AABAC7B">
      <w:pPr>
        <w:pStyle w:val="113"/>
        <w:numPr>
          <w:ilvl w:val="0"/>
          <w:numId w:val="18"/>
        </w:numPr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>专业推理服务以CPU可运行作为本期基线；若工具确需GPU，必须单独提交偏离、性能证据和资源方案。</w:t>
      </w:r>
    </w:p>
    <w:p w14:paraId="62924FC1">
      <w:pPr>
        <w:pStyle w:val="113"/>
        <w:numPr>
          <w:ilvl w:val="0"/>
          <w:numId w:val="18"/>
        </w:numPr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>服务器Python目标基线为3.11，专业工具现有版本差异须在G0兼容性验证后冻结，不能直接照搬开发机环境。</w:t>
      </w:r>
    </w:p>
    <w:p w14:paraId="3775285E">
      <w:pPr>
        <w:pStyle w:val="80"/>
        <w:keepNext/>
        <w:keepLines/>
        <w:rPr>
          <w:b w:val="0"/>
          <w:bCs w:val="0"/>
        </w:rPr>
      </w:pPr>
      <w:bookmarkStart w:id="65" w:name="_Toc4402"/>
      <w:r>
        <w:rPr>
          <w:b w:val="0"/>
          <w:bCs w:val="0"/>
        </w:rPr>
        <w:t>智能助手实施方案</w:t>
      </w:r>
      <w:bookmarkEnd w:id="65"/>
    </w:p>
    <w:p w14:paraId="62B48C09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建设内容</w:t>
      </w:r>
    </w:p>
    <w:p w14:paraId="25026233">
      <w:pPr>
        <w:pStyle w:val="81"/>
        <w:rPr>
          <w:b w:val="0"/>
          <w:bCs w:val="0"/>
        </w:rPr>
      </w:pPr>
      <w:r>
        <w:rPr>
          <w:b w:val="0"/>
          <w:bCs w:val="0"/>
        </w:rPr>
        <w:t>智能助手建设意图识别、专业能力路由、缺失参数澄清、任务卡片、进度查询、结果解释、知识问答和报告入口。助手与专业工作台共享Task、Asset和权限，不建立独立任务台账。</w:t>
      </w:r>
    </w:p>
    <w:p w14:paraId="00C1BD48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处理流程</w:t>
      </w:r>
    </w:p>
    <w:p w14:paraId="3CF9586B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智能助手处理步骤</w:t>
      </w:r>
    </w:p>
    <w:tbl>
      <w:tblPr>
        <w:tblStyle w:val="27"/>
        <w:tblW w:w="8304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2400"/>
        <w:gridCol w:w="2130"/>
        <w:gridCol w:w="2076"/>
      </w:tblGrid>
      <w:tr w14:paraId="5A7B93B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9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B397F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步骤</w:t>
            </w:r>
          </w:p>
        </w:tc>
        <w:tc>
          <w:tcPr>
            <w:tcW w:w="240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C9E0D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</w:t>
            </w:r>
          </w:p>
        </w:tc>
        <w:tc>
          <w:tcPr>
            <w:tcW w:w="213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59CE23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处理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AEA4E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输出及控制点</w:t>
            </w:r>
          </w:p>
        </w:tc>
      </w:tr>
      <w:tr w14:paraId="61EFB00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2224C1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1 收集上下文</w:t>
            </w:r>
          </w:p>
        </w:tc>
        <w:tc>
          <w:tcPr>
            <w:tcW w:w="240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6662B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用户文本、附件、会话、业务编号</w:t>
            </w:r>
          </w:p>
        </w:tc>
        <w:tc>
          <w:tcPr>
            <w:tcW w:w="213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E8E72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提取目标、文件类型、成像方式和已知参数。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D45EC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形成结构化Intent；不执行任务。</w:t>
            </w:r>
          </w:p>
        </w:tc>
      </w:tr>
      <w:tr w14:paraId="6BEEE2A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222081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2 候选能力</w:t>
            </w:r>
          </w:p>
        </w:tc>
        <w:tc>
          <w:tcPr>
            <w:tcW w:w="240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BB7FA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Intent、授权能力、健康状态</w:t>
            </w:r>
          </w:p>
        </w:tc>
        <w:tc>
          <w:tcPr>
            <w:tcW w:w="213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643D9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从能力注册表选择一个候选工具并说明理由。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B31C1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候选tool_id；不接受模型自造URL。</w:t>
            </w:r>
          </w:p>
        </w:tc>
      </w:tr>
      <w:tr w14:paraId="58FEFB3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19AFC1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3 参数补齐</w:t>
            </w:r>
          </w:p>
        </w:tc>
        <w:tc>
          <w:tcPr>
            <w:tcW w:w="240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B9C07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工具参数Schema、文件元数据</w:t>
            </w:r>
          </w:p>
        </w:tc>
        <w:tc>
          <w:tcPr>
            <w:tcW w:w="213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AA5BA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区分用户输入、文件提取、工具默认和模型建议。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A1920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待确认参数表；专业参数不能无依据补造。</w:t>
            </w:r>
          </w:p>
        </w:tc>
      </w:tr>
      <w:tr w14:paraId="6D2FEF2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93A196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4 平台校验</w:t>
            </w:r>
          </w:p>
        </w:tc>
        <w:tc>
          <w:tcPr>
            <w:tcW w:w="240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BE899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候选工具、参数、资产和权限</w:t>
            </w:r>
          </w:p>
        </w:tc>
        <w:tc>
          <w:tcPr>
            <w:tcW w:w="213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84280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业务服务校验权限、必填项、输入分组和版本。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85F6D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可执行计划或明确错误。</w:t>
            </w:r>
          </w:p>
        </w:tc>
      </w:tr>
      <w:tr w14:paraId="1191135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DA7298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5 人工确认</w:t>
            </w:r>
          </w:p>
        </w:tc>
        <w:tc>
          <w:tcPr>
            <w:tcW w:w="240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185C6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工具、参数、资源消耗提示</w:t>
            </w:r>
          </w:p>
        </w:tc>
        <w:tc>
          <w:tcPr>
            <w:tcW w:w="213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329B6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用户确认后签发执行令牌。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88376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创建Task；训练和发布必须显式确认。</w:t>
            </w:r>
          </w:p>
        </w:tc>
      </w:tr>
      <w:tr w14:paraId="2E9C29C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05CD8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6 结果解释</w:t>
            </w:r>
          </w:p>
        </w:tc>
        <w:tc>
          <w:tcPr>
            <w:tcW w:w="240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A1B24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结构化结果、人工复核、授权知识</w:t>
            </w:r>
          </w:p>
        </w:tc>
        <w:tc>
          <w:tcPr>
            <w:tcW w:w="213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4A07F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区分事实、依据、建议和待确认事项。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4D1E2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AnalysisRevision与引用；不覆盖原始结果。</w:t>
            </w:r>
          </w:p>
        </w:tc>
      </w:tr>
    </w:tbl>
    <w:p w14:paraId="71C040BF">
      <w:pPr>
        <w:pStyle w:val="81"/>
        <w:spacing w:after="0"/>
        <w:rPr>
          <w:b w:val="0"/>
          <w:bCs w:val="0"/>
        </w:rPr>
      </w:pPr>
    </w:p>
    <w:p w14:paraId="2F41C4C9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路由规则</w:t>
      </w:r>
    </w:p>
    <w:p w14:paraId="67A330EF">
      <w:pPr>
        <w:pStyle w:val="113"/>
        <w:numPr>
          <w:ilvl w:val="0"/>
          <w:numId w:val="19"/>
        </w:numPr>
        <w:ind w:left="840" w:leftChars="0" w:hanging="420" w:firstLineChars="0"/>
        <w:rPr>
          <w:b w:val="0"/>
          <w:bCs w:val="0"/>
        </w:rPr>
      </w:pPr>
      <w:r>
        <w:rPr>
          <w:b w:val="0"/>
          <w:bCs w:val="0"/>
        </w:rPr>
        <w:t>一个明确检测请求只调用一个专业工具；多专业请求拆成独立任务并关联同一business_ref。</w:t>
      </w:r>
    </w:p>
    <w:p w14:paraId="6931A112">
      <w:pPr>
        <w:pStyle w:val="113"/>
        <w:numPr>
          <w:ilvl w:val="0"/>
          <w:numId w:val="19"/>
        </w:numPr>
        <w:ind w:left="840" w:leftChars="0" w:hanging="420" w:firstLineChars="0"/>
        <w:rPr>
          <w:b w:val="0"/>
          <w:bCs w:val="0"/>
        </w:rPr>
      </w:pPr>
      <w:r>
        <w:rPr>
          <w:b w:val="0"/>
          <w:bCs w:val="0"/>
        </w:rPr>
        <w:t>工具不明确、文件与目标冲突或涉及高资源训练/模型发布时，必须转人工澄清或明确页面。</w:t>
      </w:r>
    </w:p>
    <w:p w14:paraId="777B0EDC">
      <w:pPr>
        <w:pStyle w:val="113"/>
        <w:numPr>
          <w:ilvl w:val="0"/>
          <w:numId w:val="19"/>
        </w:numPr>
        <w:ind w:left="840" w:leftChars="0" w:hanging="420" w:firstLineChars="0"/>
        <w:rPr>
          <w:b w:val="0"/>
          <w:bCs w:val="0"/>
        </w:rPr>
      </w:pPr>
      <w:r>
        <w:rPr>
          <w:b w:val="0"/>
          <w:bCs w:val="0"/>
        </w:rPr>
        <w:t>知识问答不创建检测任务；用户询问操作说明时只检索授权知识。</w:t>
      </w:r>
    </w:p>
    <w:p w14:paraId="259110D7">
      <w:pPr>
        <w:pStyle w:val="113"/>
        <w:numPr>
          <w:ilvl w:val="0"/>
          <w:numId w:val="19"/>
        </w:numPr>
        <w:ind w:left="840" w:leftChars="0" w:hanging="420" w:firstLineChars="0"/>
        <w:rPr>
          <w:b w:val="0"/>
          <w:bCs w:val="0"/>
        </w:rPr>
      </w:pPr>
      <w:r>
        <w:rPr>
          <w:b w:val="0"/>
          <w:bCs w:val="0"/>
        </w:rPr>
        <w:t>专业标定、材料牌号、标准版本、物理单位和合格判据不得由模型猜测。</w:t>
      </w:r>
    </w:p>
    <w:p w14:paraId="5F6625CC">
      <w:pPr>
        <w:pStyle w:val="113"/>
        <w:numPr>
          <w:ilvl w:val="0"/>
          <w:numId w:val="19"/>
        </w:numPr>
        <w:ind w:left="840" w:leftChars="0" w:hanging="420" w:firstLineChars="0"/>
        <w:rPr>
          <w:b w:val="0"/>
          <w:bCs w:val="0"/>
        </w:rPr>
      </w:pPr>
      <w:r>
        <w:rPr>
          <w:b w:val="0"/>
          <w:bCs w:val="0"/>
        </w:rPr>
        <w:t>大模型、Dify或RAGFlow不可用时，专业工作台、任务查询、原始结果和基础报告保持可用。</w:t>
      </w:r>
    </w:p>
    <w:p w14:paraId="71F208F2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输入</w:t>
      </w:r>
      <w:r>
        <w:rPr>
          <w:rFonts w:hint="eastAsia"/>
          <w:b w:val="0"/>
          <w:bCs w:val="0"/>
          <w:lang w:eastAsia="zh-CN"/>
        </w:rPr>
        <w:t>、</w:t>
      </w:r>
      <w:r>
        <w:rPr>
          <w:b w:val="0"/>
          <w:bCs w:val="0"/>
        </w:rPr>
        <w:t>输出</w:t>
      </w:r>
      <w:r>
        <w:rPr>
          <w:rFonts w:hint="eastAsia"/>
          <w:b w:val="0"/>
          <w:bCs w:val="0"/>
          <w:lang w:eastAsia="zh-CN"/>
        </w:rPr>
        <w:t>、</w:t>
      </w:r>
      <w:r>
        <w:rPr>
          <w:b w:val="0"/>
          <w:bCs w:val="0"/>
        </w:rPr>
        <w:t>依赖与验收</w:t>
      </w:r>
    </w:p>
    <w:p w14:paraId="5F166DF7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智能助手实施卡</w:t>
      </w:r>
    </w:p>
    <w:tbl>
      <w:tblPr>
        <w:tblStyle w:val="27"/>
        <w:tblW w:w="8306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6883"/>
      </w:tblGrid>
      <w:tr w14:paraId="0C6781A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2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62DEF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项目</w:t>
            </w:r>
          </w:p>
        </w:tc>
        <w:tc>
          <w:tcPr>
            <w:tcW w:w="688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EC7A85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实施要求</w:t>
            </w:r>
          </w:p>
        </w:tc>
      </w:tr>
      <w:tr w14:paraId="67AE6A3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2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22431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</w:t>
            </w:r>
          </w:p>
        </w:tc>
        <w:tc>
          <w:tcPr>
            <w:tcW w:w="688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6A81C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用户文本、asset_id、business_ref、上下文、授权能力清单、参数Schema。</w:t>
            </w:r>
          </w:p>
        </w:tc>
      </w:tr>
      <w:tr w14:paraId="75F30BC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2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EDA80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输出</w:t>
            </w:r>
          </w:p>
        </w:tc>
        <w:tc>
          <w:tcPr>
            <w:tcW w:w="688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1D765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Intent、候选能力、参数确认单、Task卡片、引用回答、AnalysisRevision。</w:t>
            </w:r>
          </w:p>
        </w:tc>
      </w:tr>
      <w:tr w14:paraId="2B1E6D3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2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4693C8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依赖</w:t>
            </w:r>
          </w:p>
        </w:tc>
        <w:tc>
          <w:tcPr>
            <w:tcW w:w="688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5E81B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Dify、基础大模型、RAGFlow、能力注册表、Task Service、RBAC。</w:t>
            </w:r>
          </w:p>
        </w:tc>
      </w:tr>
      <w:tr w14:paraId="62BADF6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2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14905C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异常处置</w:t>
            </w:r>
          </w:p>
        </w:tc>
        <w:tc>
          <w:tcPr>
            <w:tcW w:w="688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ABF48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模型超时降级到专业入口；检索无依据时提示补充信息；工具不健康时禁止创建任务。</w:t>
            </w:r>
          </w:p>
        </w:tc>
      </w:tr>
      <w:tr w14:paraId="135B30F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2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29E44B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验收</w:t>
            </w:r>
          </w:p>
        </w:tc>
        <w:tc>
          <w:tcPr>
            <w:tcW w:w="688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84E20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路由正确、缺参可澄清、越权能力不可见、刷新可恢复任务、降级后专业检测可继续。</w:t>
            </w:r>
          </w:p>
        </w:tc>
      </w:tr>
    </w:tbl>
    <w:p w14:paraId="6628246B">
      <w:pPr>
        <w:pStyle w:val="81"/>
        <w:spacing w:after="0"/>
        <w:rPr>
          <w:b w:val="0"/>
          <w:bCs w:val="0"/>
        </w:rPr>
      </w:pPr>
    </w:p>
    <w:p w14:paraId="6329C03A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功能点实施卡</w:t>
      </w:r>
    </w:p>
    <w:p w14:paraId="7652F9E4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智能助手模块功能点实施卡</w:t>
      </w:r>
    </w:p>
    <w:tbl>
      <w:tblPr>
        <w:tblStyle w:val="27"/>
        <w:tblW w:w="8304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4BC72B5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219985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功能点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412B1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实现方式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21780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技术方案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495E28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输入输出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EA49E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异常处置原则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9615D3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所需资源</w:t>
            </w:r>
          </w:p>
        </w:tc>
      </w:tr>
      <w:tr w14:paraId="06DC289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4C6EA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上下文收集与意图提取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3E72E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归纳用户目标、文件类型、成像方式和已知参数，形成结构化Intent；不创建任务、不调用工具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7C9EB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Dify Workflow意图分类节点；文件元数据由Asset服务预抽取（尺寸/格式/EXIF）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B9E0F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输入：用户文本、附件、会话历史、business_ref；输出：结构化Intent（目标、专业候选、缺失字段列表）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11D79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无法归纳出有效专业类型时提示用户明确专业或转专业工作台，不强行猜测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CC8CC6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AI平台团队约2人天</w:t>
            </w:r>
          </w:p>
        </w:tc>
      </w:tr>
      <w:tr w14:paraId="03B2EBE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F91015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候选能力路由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68CE2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只从能力注册表选一个已授权、健康的tool_id并说明理由，不接受模型自造地址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1B9EFB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能力注册表查询API+规则引擎；目标不明确时LangGraph先澄清再路由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A957F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输入：Intent、授权能力清单、工具健康状态；输出：候选tool_id+路由理由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DB2DE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候选能力不健康或无权限时转专业工作台明确入口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C0F40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平台开发约3人天</w:t>
            </w:r>
          </w:p>
        </w:tc>
      </w:tr>
      <w:tr w14:paraId="6F984D9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C28D77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参数补齐与澄清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EA65A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区分用户输入/文件提取/工具默认/模型建议四类来源，逐项标注来源，生成待确认参数表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93059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Dify表单节点+参数Schema校验（复用工具parameter_schema）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26481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输入：工具参数Schema、文件元数据；输出：待确认参数表（含来源标签）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072A3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专业参数（标定、材料牌号、标准版本）模型不得猜测，缺失须请用户补充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9BFE9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平台开发+算法评审约2人天</w:t>
            </w:r>
          </w:p>
        </w:tc>
      </w:tr>
      <w:tr w14:paraId="0D32EFC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436D4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执行确认与令牌签发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3A62A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用户确认参数和资源消耗提示后签发执行令牌并创建Task；训练/发布类须显式二次确认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6D0ED1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Task Service幂等创建接口（Idempotency-Key）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E1F7C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输入：已确认参数、工具、资源提示；输出：Task记录+Asset关联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4242E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未确认不得创建任务；同键同参数返回原任务，不重复创建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D5713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平台开发约2人天</w:t>
            </w:r>
          </w:p>
        </w:tc>
      </w:tr>
      <w:tr w14:paraId="355C6F8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70E278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结果解释生成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23113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基于结构化结果、复核结论和授权知识生成解释，区分事实/依据/建议/待确认，不改写原始JSON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7C945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Dify生成节点+引用规则（标注来源、标准号、页码）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4DA1A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输入：Result、ReviewRevision、授权知识片段；输出：AnalysisRevision（含引用）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B3369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检索无依据时明确提示"依据不足"，不生成肯定结论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BF877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AI平台+知识团队约3人天</w:t>
            </w:r>
          </w:p>
        </w:tc>
      </w:tr>
      <w:tr w14:paraId="1C085F2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E92E6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知识问答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2AB4E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用户咨询操作说明或专业知识时仅检索授权知识，不创建检测任务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39C2FC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RAGFlow检索，先权限过滤后检索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2747E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输入：用户问题、权限范围；输出：带来源引用的回答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FA9D7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检索为空时明确告知未找到，不编造答案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5BEBB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复用RAGFlow，约1人天联调</w:t>
            </w:r>
          </w:p>
        </w:tc>
      </w:tr>
      <w:tr w14:paraId="3E035D0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BBF0FB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降级处理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C6A89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大模型/Dify/RAGFlow不可用时专业工作台、任务查询、原始结果和基础报告保持可用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200346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前端探测服务健康，自动切换专业入口直接模式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77631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输入：服务健康状态；输出：降级提示+可用功能清单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54FD4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恢复后补生成解释，不改写已产生的任务状态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14A77E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平台开发约2人天</w:t>
            </w:r>
          </w:p>
        </w:tc>
      </w:tr>
    </w:tbl>
    <w:p w14:paraId="63DB904C">
      <w:pPr>
        <w:pStyle w:val="80"/>
        <w:keepNext/>
        <w:keepLines/>
        <w:rPr>
          <w:b w:val="0"/>
          <w:bCs w:val="0"/>
        </w:rPr>
      </w:pPr>
      <w:bookmarkStart w:id="66" w:name="_Toc16687"/>
      <w:r>
        <w:rPr>
          <w:rFonts w:hint="eastAsia"/>
          <w:b w:val="0"/>
          <w:bCs w:val="0"/>
          <w:lang w:val="en-US" w:eastAsia="zh-CN"/>
        </w:rPr>
        <w:t>任务中心</w:t>
      </w:r>
      <w:r>
        <w:rPr>
          <w:b w:val="0"/>
          <w:bCs w:val="0"/>
        </w:rPr>
        <w:t>实施方案</w:t>
      </w:r>
      <w:bookmarkEnd w:id="66"/>
    </w:p>
    <w:p w14:paraId="233F20E9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建设功能</w:t>
      </w:r>
    </w:p>
    <w:p w14:paraId="7BA998D0">
      <w:pPr>
        <w:pStyle w:val="81"/>
        <w:rPr>
          <w:b w:val="0"/>
          <w:bCs w:val="0"/>
        </w:rPr>
      </w:pPr>
      <w:r>
        <w:rPr>
          <w:b w:val="0"/>
          <w:bCs w:val="0"/>
        </w:rPr>
        <w:t>检测模块建设上传、任务创建、参数确认、任务执行、进度查询、结果展示、人工复核、失败项重试、取消和对账十项功能。任务采用task与task_item两级结构：task表达一次业务提交，item表达可独立执行或不可拆分的一张/一组图像。</w:t>
      </w:r>
    </w:p>
    <w:p w14:paraId="4517823F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端到端实现流程</w:t>
      </w:r>
    </w:p>
    <w:p w14:paraId="28CA758E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检测任务实现流程</w:t>
      </w:r>
    </w:p>
    <w:tbl>
      <w:tblPr>
        <w:tblStyle w:val="27"/>
        <w:tblW w:w="8305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1813"/>
        <w:gridCol w:w="2218"/>
        <w:gridCol w:w="1473"/>
        <w:gridCol w:w="1661"/>
      </w:tblGrid>
      <w:tr w14:paraId="67D60D6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</w:tblPrEx>
        <w:trPr>
          <w:cantSplit/>
          <w:tblHeader/>
          <w:jc w:val="center"/>
        </w:trPr>
        <w:tc>
          <w:tcPr>
            <w:tcW w:w="114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EE8E8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/>
                <w:bCs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color w:val="000000"/>
                <w:szCs w:val="20"/>
                <w:lang w:val="en-US" w:eastAsia="zh-CN"/>
              </w:rPr>
              <w:t>阶段</w:t>
            </w:r>
          </w:p>
        </w:tc>
        <w:tc>
          <w:tcPr>
            <w:tcW w:w="181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C97298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/>
                <w:bCs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color w:val="000000"/>
                <w:szCs w:val="20"/>
                <w:lang w:val="en-US" w:eastAsia="zh-CN"/>
              </w:rPr>
              <w:t>前端</w:t>
            </w:r>
          </w:p>
        </w:tc>
        <w:tc>
          <w:tcPr>
            <w:tcW w:w="221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07AD2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/>
                <w:bCs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color w:val="000000"/>
                <w:szCs w:val="20"/>
                <w:lang w:val="en-US" w:eastAsia="zh-CN"/>
              </w:rPr>
              <w:t>平台服务</w:t>
            </w:r>
          </w:p>
        </w:tc>
        <w:tc>
          <w:tcPr>
            <w:tcW w:w="147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A2B38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/>
                <w:bCs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color w:val="000000"/>
                <w:szCs w:val="20"/>
                <w:lang w:val="en-US" w:eastAsia="zh-CN"/>
              </w:rPr>
              <w:t>执行器与工具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750B11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/>
                <w:bCs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color w:val="000000"/>
                <w:szCs w:val="20"/>
                <w:lang w:val="en-US" w:eastAsia="zh-CN"/>
              </w:rPr>
              <w:t>持久化结果</w:t>
            </w:r>
          </w:p>
        </w:tc>
      </w:tr>
      <w:tr w14:paraId="036C0C3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BAD94C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上传</w:t>
            </w:r>
          </w:p>
        </w:tc>
        <w:tc>
          <w:tcPr>
            <w:tcW w:w="181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CDE35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选择文件并显示校验结果。</w:t>
            </w:r>
          </w:p>
        </w:tc>
        <w:tc>
          <w:tcPr>
            <w:tcW w:w="221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40C90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写Ceph临时区，校验哈希后生成Asset。</w:t>
            </w:r>
          </w:p>
        </w:tc>
        <w:tc>
          <w:tcPr>
            <w:tcW w:w="147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59782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不调用工具。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E4632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asset、权限、哈希、元数据。</w:t>
            </w:r>
          </w:p>
        </w:tc>
      </w:tr>
      <w:tr w14:paraId="7CBF212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F2936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创建</w:t>
            </w:r>
          </w:p>
        </w:tc>
        <w:tc>
          <w:tcPr>
            <w:tcW w:w="181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DD6F7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确认专业、参数和分组关系。</w:t>
            </w:r>
          </w:p>
        </w:tc>
        <w:tc>
          <w:tcPr>
            <w:tcW w:w="221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55345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校验Schema/RBAC，冻结版本，创建task/item。</w:t>
            </w:r>
          </w:p>
        </w:tc>
        <w:tc>
          <w:tcPr>
            <w:tcW w:w="147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05B2E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不调用工具。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F0D5B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task、item、parameter_snapshot。</w:t>
            </w:r>
          </w:p>
        </w:tc>
      </w:tr>
      <w:tr w14:paraId="5F30E16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BC5C4B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执行</w:t>
            </w:r>
          </w:p>
        </w:tc>
        <w:tc>
          <w:tcPr>
            <w:tcW w:w="181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488C4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显示阶段和已耗时。</w:t>
            </w:r>
          </w:p>
        </w:tc>
        <w:tc>
          <w:tcPr>
            <w:tcW w:w="221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EB666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写入队列，执行器以租约领取。</w:t>
            </w:r>
          </w:p>
        </w:tc>
        <w:tc>
          <w:tcPr>
            <w:tcW w:w="147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B8309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适配器调用专业API并轮询。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9CA44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job_id、事件、心跳、原始响应。</w:t>
            </w:r>
          </w:p>
        </w:tc>
      </w:tr>
      <w:tr w14:paraId="6793F13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60352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结果</w:t>
            </w:r>
          </w:p>
        </w:tc>
        <w:tc>
          <w:tcPr>
            <w:tcW w:w="181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0339D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分区展示原始结果、AI解释、人工结论。</w:t>
            </w:r>
          </w:p>
        </w:tc>
        <w:tc>
          <w:tcPr>
            <w:tcW w:w="221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B0E71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校验ResultEnvelope并登记产物。</w:t>
            </w:r>
          </w:p>
        </w:tc>
        <w:tc>
          <w:tcPr>
            <w:tcW w:w="147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57AD6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返回结构化结果和文件。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180CF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result、artifact、analysis_revision。</w:t>
            </w:r>
          </w:p>
        </w:tc>
      </w:tr>
      <w:tr w14:paraId="62F510B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D2736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复核</w:t>
            </w:r>
          </w:p>
        </w:tc>
        <w:tc>
          <w:tcPr>
            <w:tcW w:w="181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C5B84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修订标注、结论和理由。</w:t>
            </w:r>
          </w:p>
        </w:tc>
        <w:tc>
          <w:tcPr>
            <w:tcW w:w="221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D1B24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保存新review_revision，不覆盖原结果。</w:t>
            </w:r>
          </w:p>
        </w:tc>
        <w:tc>
          <w:tcPr>
            <w:tcW w:w="147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63EBE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无调用或调用标注校验API。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7569C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复核版本、人员、时间、理由。</w:t>
            </w:r>
          </w:p>
        </w:tc>
      </w:tr>
      <w:tr w14:paraId="7DE1689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CE7366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重试/取消</w:t>
            </w:r>
          </w:p>
        </w:tc>
        <w:tc>
          <w:tcPr>
            <w:tcW w:w="181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3C28B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选择失败项或发起取消。</w:t>
            </w:r>
          </w:p>
        </w:tc>
        <w:tc>
          <w:tcPr>
            <w:tcW w:w="221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9738E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新任务关联retry_of；取消进入请求态。</w:t>
            </w:r>
          </w:p>
        </w:tc>
        <w:tc>
          <w:tcPr>
            <w:tcW w:w="147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7A36A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查询既有受理记录或请求中止。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14D5F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保留旧任务和对账证据。</w:t>
            </w:r>
          </w:p>
        </w:tc>
      </w:tr>
    </w:tbl>
    <w:p w14:paraId="6325FA0D">
      <w:pPr>
        <w:pStyle w:val="81"/>
        <w:spacing w:after="0"/>
        <w:rPr>
          <w:b w:val="0"/>
          <w:bCs w:val="0"/>
        </w:rPr>
      </w:pPr>
    </w:p>
    <w:p w14:paraId="5DE87359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结果显示与复核</w:t>
      </w:r>
    </w:p>
    <w:p w14:paraId="7D2B7261">
      <w:pPr>
        <w:pStyle w:val="113"/>
        <w:numPr>
          <w:ilvl w:val="0"/>
          <w:numId w:val="20"/>
        </w:numPr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>结果页固定分为模型原始输出、AI解释、人工结论三块；任何解释不得改写原始JSON。</w:t>
      </w:r>
    </w:p>
    <w:p w14:paraId="12141632">
      <w:pPr>
        <w:pStyle w:val="113"/>
        <w:numPr>
          <w:ilvl w:val="0"/>
          <w:numId w:val="20"/>
        </w:numPr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>图像结果支持原图/标注图对照、bbox/polygon/mask图层开关、置信度和版本查看。</w:t>
      </w:r>
    </w:p>
    <w:p w14:paraId="72F00FF9">
      <w:pPr>
        <w:pStyle w:val="113"/>
        <w:numPr>
          <w:ilvl w:val="0"/>
          <w:numId w:val="20"/>
        </w:numPr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>测量类结果始终显示单位、坐标系、标定状态和参考/目标图像关系；无标定时仅显示像素单位。</w:t>
      </w:r>
    </w:p>
    <w:p w14:paraId="347A8E97">
      <w:pPr>
        <w:pStyle w:val="113"/>
        <w:numPr>
          <w:ilvl w:val="0"/>
          <w:numId w:val="20"/>
        </w:numPr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>复核产生新版本并引用原始结果；已批准报告固定引用具体复核版本。</w:t>
      </w:r>
    </w:p>
    <w:p w14:paraId="77CEFA69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异常处置</w:t>
      </w:r>
    </w:p>
    <w:p w14:paraId="53D4E477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检测异常处理规则</w:t>
      </w:r>
    </w:p>
    <w:tbl>
      <w:tblPr>
        <w:tblStyle w:val="27"/>
        <w:tblW w:w="8304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0"/>
        <w:gridCol w:w="2582"/>
        <w:gridCol w:w="2076"/>
        <w:gridCol w:w="2076"/>
      </w:tblGrid>
      <w:tr w14:paraId="1A6126F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7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BFD75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场景</w:t>
            </w:r>
          </w:p>
        </w:tc>
        <w:tc>
          <w:tcPr>
            <w:tcW w:w="2582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2FFA8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平台处理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80DC57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用户反馈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25FC7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是否可重试</w:t>
            </w:r>
          </w:p>
        </w:tc>
      </w:tr>
      <w:tr w14:paraId="1D45AB1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7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83C74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参数不完整</w:t>
            </w:r>
          </w:p>
        </w:tc>
        <w:tc>
          <w:tcPr>
            <w:tcW w:w="2582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41F50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不创建任务，返回字段级错误。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75719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定位缺失字段及依据。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DE60E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补齐后重新提交。</w:t>
            </w:r>
          </w:p>
        </w:tc>
      </w:tr>
      <w:tr w14:paraId="0AA5A60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7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38E755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工具未就绪</w:t>
            </w:r>
          </w:p>
        </w:tc>
        <w:tc>
          <w:tcPr>
            <w:tcW w:w="2582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7B620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阻止受理并记录健康状态。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A4711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提示工具暂不可用和追踪编号。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48CC2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健康恢复后重试。</w:t>
            </w:r>
          </w:p>
        </w:tc>
      </w:tr>
      <w:tr w14:paraId="1464494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7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654AB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调用超时</w:t>
            </w:r>
          </w:p>
        </w:tc>
        <w:tc>
          <w:tcPr>
            <w:tcW w:w="2582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2D2DE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进入RECONCILING，查询工具受理记录。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60B1D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显示对账中，不宣称失败。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7A4CF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确认未受理后才允许重试。</w:t>
            </w:r>
          </w:p>
        </w:tc>
      </w:tr>
      <w:tr w14:paraId="5E53F70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7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654FCE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部分图像失败</w:t>
            </w:r>
          </w:p>
        </w:tc>
        <w:tc>
          <w:tcPr>
            <w:tcW w:w="2582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D0275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任务为PARTIAL_SUCCEEDED，保留成功项。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759E4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逐项展示成功和失败原因。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53FF4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仅失败项创建新任务。</w:t>
            </w:r>
          </w:p>
        </w:tc>
      </w:tr>
      <w:tr w14:paraId="63937F1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7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10E36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取消不受支持</w:t>
            </w:r>
          </w:p>
        </w:tc>
        <w:tc>
          <w:tcPr>
            <w:tcW w:w="2582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5D8E9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保留运行任务，完成后保留结果。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925D4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明确提示无法中断。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14DD4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不伪造CANCELLED。</w:t>
            </w:r>
          </w:p>
        </w:tc>
      </w:tr>
      <w:tr w14:paraId="397F3E6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7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3FC33E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结果Schema不符</w:t>
            </w:r>
          </w:p>
        </w:tc>
        <w:tc>
          <w:tcPr>
            <w:tcW w:w="2582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F73E2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隔离原始响应并标记适配失败。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93F58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显示平台解析失败。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45577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工具修复或适配规则更新后重试。</w:t>
            </w:r>
          </w:p>
        </w:tc>
      </w:tr>
    </w:tbl>
    <w:p w14:paraId="003A92A3">
      <w:pPr>
        <w:pStyle w:val="81"/>
        <w:spacing w:after="0"/>
        <w:rPr>
          <w:b w:val="0"/>
          <w:bCs w:val="0"/>
        </w:rPr>
      </w:pPr>
    </w:p>
    <w:p w14:paraId="626C1566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功能点实施卡</w:t>
      </w:r>
    </w:p>
    <w:p w14:paraId="38FCACCD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任务中心模块功能点实施卡</w:t>
      </w:r>
    </w:p>
    <w:tbl>
      <w:tblPr>
        <w:tblStyle w:val="27"/>
        <w:tblW w:w="8304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0E2AC9B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88C92B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功能点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362FE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实现方式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EEE64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技术方案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218506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输入输出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F42BAE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异常处置原则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D75BB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所需资源</w:t>
            </w:r>
          </w:p>
        </w:tc>
      </w:tr>
      <w:tr w14:paraId="718C846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34C55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任务列表-筛选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29475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按状态/专业/时间/创建人筛选，仅返回用户数据范围内任务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6C5DE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Task API+RBAC数据范围过滤（self/project/organization/all）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154CA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输入：筛选条件+权限；输出：分页任务列表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F0116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越权范围外任务直接不可见，不提示"存在但无权限"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3E2B5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平台开发约1人天</w:t>
            </w:r>
          </w:p>
        </w:tc>
      </w:tr>
      <w:tr w14:paraId="4351D34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3FBC3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任务列表-取消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8CFE4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对QUEUED/RUNNING任务发起取消，进入CANCEL_REQUESTED等待工具确认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560F37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状态机+适配器取消接口（按工具能力）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A43BC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输入：task_id+原因；输出：取消记录+最终状态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CB933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工具不支持取消时明确提示"无法中断"，不伪造CANCELLED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A6C6D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平台+各工具适配器约2人天</w:t>
            </w:r>
          </w:p>
        </w:tc>
      </w:tr>
      <w:tr w14:paraId="7C8C7C1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9B8BD8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任务列表-重试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88261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仅失败项创建新任务并关联retry_of，保留原任务和对账证据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8FA03B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Task Service重试接口，复用原参数快照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BDD9C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输入：原task_id/item_id；输出：新task（含retry_of）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9F8C2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确认原任务确未受理后才允许重试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63D9D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平台开发约1人天</w:t>
            </w:r>
          </w:p>
        </w:tc>
      </w:tr>
      <w:tr w14:paraId="0194873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ED06AC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任务列表-进入结果页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EC932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跳转结果页，按TaskItem展示状态、结果和复核历史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D5C38B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前端路由+结果查询API（分区展示）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CD0A8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输入：task_id；输出：结果详情（含图层、复核历史）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20697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Schema校验失败的item单独标记"解析失败"，不影响其他item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3792F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平台开发约2人天</w:t>
            </w:r>
          </w:p>
        </w:tc>
      </w:tr>
      <w:tr w14:paraId="50A04F1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FDFA2B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上传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1A429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文件写入Ceph临时区，校验哈希后生成Asset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F44ED6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分片上传+断点续传，SHA-256哈希校验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27765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输入：文件流+项目/专业信息；输出：asset_id+元数据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AA1DF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哈希失败不生成Asset并提示重传；类型不符前后端双重拦截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EA38D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平台+Ceph运维约3人天</w:t>
            </w:r>
          </w:p>
        </w:tc>
      </w:tr>
      <w:tr w14:paraId="4313681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DAE76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创建任务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6FC00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确认专业/参数/分组后校验Schema/RBAC，冻结版本，创建task/item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93DCA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参数快照写入parameter_snapshot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9B90B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输入：asset_id列表+专业参数+分组；输出：task/item记录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37491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参数不完整不创建任务，返回字段级错误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A3B26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平台开发约3人天</w:t>
            </w:r>
          </w:p>
        </w:tc>
      </w:tr>
      <w:tr w14:paraId="1AF982D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10853C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执行监控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2219B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执行器租约领取任务，适配器调用专业API并轮询，写入事件心跳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72F3D1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队列+租约机制（轮询2秒退避至30秒，心跳10秒）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029D1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输入：job_id；输出：事件流、心跳、原始响应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1A2A6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调用超时进入RECONCILING，查询受理记录后再判定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017F7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平台开发约5人天</w:t>
            </w:r>
          </w:p>
        </w:tc>
      </w:tr>
      <w:tr w14:paraId="5F04752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F4D98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复核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70EB3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修订标注/结论/理由，保存为新review_revision，不覆盖原结果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EEF21C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乐观锁版本控制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A6F0B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输入：原result_id+修订；输出：新ReviewRevision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38CCF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并发复核冲突以乐观锁拒绝后者，提示刷新重试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BEE63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平台开发约2人天</w:t>
            </w:r>
          </w:p>
        </w:tc>
      </w:tr>
      <w:tr w14:paraId="1093187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F31DC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对账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7DC4E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超时后先查询工具受理事实（client_request_id），避免重复执行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3F244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定时+手动触发双通道对账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21761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输入：疑似丢失响应的job_id；输出：对账结果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F061F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对账未决前不允许该item重复受理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1246D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平台开发约2人天</w:t>
            </w:r>
          </w:p>
        </w:tc>
      </w:tr>
    </w:tbl>
    <w:p w14:paraId="63CF0B9D">
      <w:pPr>
        <w:pStyle w:val="80"/>
        <w:keepNext/>
        <w:keepLines/>
        <w:rPr>
          <w:b w:val="0"/>
          <w:bCs w:val="0"/>
        </w:rPr>
      </w:pPr>
      <w:bookmarkStart w:id="67" w:name="_Toc31402"/>
      <w:r>
        <w:rPr>
          <w:b w:val="0"/>
          <w:bCs w:val="0"/>
        </w:rPr>
        <w:t>能力</w:t>
      </w:r>
      <w:r>
        <w:rPr>
          <w:rFonts w:hint="eastAsia"/>
          <w:b w:val="0"/>
          <w:bCs w:val="0"/>
          <w:lang w:val="en-US" w:eastAsia="zh-CN"/>
        </w:rPr>
        <w:t>中心</w:t>
      </w:r>
      <w:r>
        <w:rPr>
          <w:b w:val="0"/>
          <w:bCs w:val="0"/>
        </w:rPr>
        <w:t>实施方案</w:t>
      </w:r>
      <w:bookmarkEnd w:id="67"/>
    </w:p>
    <w:p w14:paraId="37743337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统一接入方式</w:t>
      </w:r>
    </w:p>
    <w:p w14:paraId="0F50A2B0">
      <w:pPr>
        <w:pStyle w:val="81"/>
        <w:rPr>
          <w:b w:val="0"/>
          <w:bCs w:val="0"/>
        </w:rPr>
      </w:pPr>
      <w:r>
        <w:rPr>
          <w:b w:val="0"/>
          <w:bCs w:val="0"/>
        </w:rPr>
        <w:t>每项专业能力以Capability Registry中的tool_id、tool_version、model_version、parameter_schema、result_schema和健康状态注册。平台只依赖统一适配器接口，专业差异由各自Schema和适配器处理，不把不同专业结果强行压缩成同一“缺陷等级”。</w:t>
      </w:r>
    </w:p>
    <w:p w14:paraId="2B982FFC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六项能力接入概览</w:t>
      </w:r>
    </w:p>
    <w:tbl>
      <w:tblPr>
        <w:tblStyle w:val="27"/>
        <w:tblW w:w="8305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1617"/>
        <w:gridCol w:w="1683"/>
        <w:gridCol w:w="1931"/>
        <w:gridCol w:w="1947"/>
      </w:tblGrid>
      <w:tr w14:paraId="75D5114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2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979DAB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专业</w:t>
            </w:r>
          </w:p>
        </w:tc>
        <w:tc>
          <w:tcPr>
            <w:tcW w:w="161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3DF337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输入组织</w:t>
            </w:r>
          </w:p>
        </w:tc>
        <w:tc>
          <w:tcPr>
            <w:tcW w:w="168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DB54E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核心输出</w:t>
            </w:r>
          </w:p>
        </w:tc>
        <w:tc>
          <w:tcPr>
            <w:tcW w:w="193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FC0F2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当前接入成熟度</w:t>
            </w:r>
          </w:p>
        </w:tc>
        <w:tc>
          <w:tcPr>
            <w:tcW w:w="194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CE0F6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G0阻断项</w:t>
            </w:r>
          </w:p>
        </w:tc>
      </w:tr>
      <w:tr w14:paraId="6065EAB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9989B8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荧光</w:t>
            </w:r>
          </w:p>
        </w:tc>
        <w:tc>
          <w:tcPr>
            <w:tcW w:w="161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75F1A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单张荧光图像</w:t>
            </w:r>
          </w:p>
        </w:tc>
        <w:tc>
          <w:tcPr>
            <w:tcW w:w="168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9480C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FI缺陷框、置信度、数量、标注图</w:t>
            </w:r>
          </w:p>
        </w:tc>
        <w:tc>
          <w:tcPr>
            <w:tcW w:w="193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657D4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已有演示API，统一接口待补。</w:t>
            </w:r>
          </w:p>
        </w:tc>
        <w:tc>
          <w:tcPr>
            <w:tcW w:w="194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7A507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CPU-only、统一路径/错误码、生产环境适配。</w:t>
            </w:r>
          </w:p>
        </w:tc>
      </w:tr>
      <w:tr w14:paraId="07E010A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450D03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孔探</w:t>
            </w:r>
          </w:p>
        </w:tc>
        <w:tc>
          <w:tcPr>
            <w:tcW w:w="161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876B4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单张静态图像</w:t>
            </w:r>
          </w:p>
        </w:tc>
        <w:tc>
          <w:tcPr>
            <w:tcW w:w="168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8995A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叶片类别、裂纹/烧蚀/腐蚀框与置信度</w:t>
            </w:r>
          </w:p>
        </w:tc>
        <w:tc>
          <w:tcPr>
            <w:tcW w:w="193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D316B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服务化设计待实现。</w:t>
            </w:r>
          </w:p>
        </w:tc>
        <w:tc>
          <w:tcPr>
            <w:tcW w:w="194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5FAE8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Linux/NFC验证、统一API、severity语义。</w:t>
            </w:r>
          </w:p>
        </w:tc>
      </w:tr>
      <w:tr w14:paraId="609A880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DCDE5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热部图像</w:t>
            </w:r>
          </w:p>
        </w:tc>
        <w:tc>
          <w:tcPr>
            <w:tcW w:w="161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FE440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按时间顺序多图+元数据</w:t>
            </w:r>
          </w:p>
        </w:tc>
        <w:tc>
          <w:tcPr>
            <w:tcW w:w="168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86FF3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缺陷或异常齿位、分数和衍生产物</w:t>
            </w:r>
          </w:p>
        </w:tc>
        <w:tc>
          <w:tcPr>
            <w:tcW w:w="193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48D39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工作簿信息不一致。</w:t>
            </w:r>
          </w:p>
        </w:tc>
        <w:tc>
          <w:tcPr>
            <w:tcW w:w="194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88DE0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专业对象、标签及输出Schema重新确认。</w:t>
            </w:r>
          </w:p>
        </w:tc>
      </w:tr>
      <w:tr w14:paraId="035BD1E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17017C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X射线</w:t>
            </w:r>
          </w:p>
        </w:tc>
        <w:tc>
          <w:tcPr>
            <w:tcW w:w="161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DD272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2至20个OPI成组文件</w:t>
            </w:r>
          </w:p>
        </w:tc>
        <w:tc>
          <w:tcPr>
            <w:tcW w:w="168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23FDF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结构关键点、参考/目标关系、二维位移</w:t>
            </w:r>
          </w:p>
        </w:tc>
        <w:tc>
          <w:tcPr>
            <w:tcW w:w="193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544DE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接口为设计预期。</w:t>
            </w:r>
          </w:p>
        </w:tc>
        <w:tc>
          <w:tcPr>
            <w:tcW w:w="194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2F79D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Windows到NFC适配、OPI解析、标定与实测。</w:t>
            </w:r>
          </w:p>
        </w:tc>
      </w:tr>
      <w:tr w14:paraId="5117335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3E391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断口</w:t>
            </w:r>
          </w:p>
        </w:tc>
        <w:tc>
          <w:tcPr>
            <w:tcW w:w="161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2CB33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断口SEM图像/成组文件待确认</w:t>
            </w:r>
          </w:p>
        </w:tc>
        <w:tc>
          <w:tcPr>
            <w:tcW w:w="168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F7367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形貌分类、区域分割、条带间距、寿命反推</w:t>
            </w:r>
          </w:p>
        </w:tc>
        <w:tc>
          <w:tcPr>
            <w:tcW w:w="193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0AEBD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字段较完整，环境未统一。</w:t>
            </w:r>
          </w:p>
        </w:tc>
        <w:tc>
          <w:tcPr>
            <w:tcW w:w="194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50615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单图/成组矛盾、OCR公网依赖、Python兼容。</w:t>
            </w:r>
          </w:p>
        </w:tc>
      </w:tr>
      <w:tr w14:paraId="055977B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BDCBF3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金相</w:t>
            </w:r>
          </w:p>
        </w:tc>
        <w:tc>
          <w:tcPr>
            <w:tcW w:w="161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DA159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单图，批量为任务层组织</w:t>
            </w:r>
          </w:p>
        </w:tc>
        <w:tc>
          <w:tcPr>
            <w:tcW w:w="168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95777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两相分割、面积分数、颗粒和通道定量</w:t>
            </w:r>
          </w:p>
        </w:tc>
        <w:tc>
          <w:tcPr>
            <w:tcW w:w="193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742AE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单图同步接口较清晰。</w:t>
            </w:r>
          </w:p>
        </w:tc>
        <w:tc>
          <w:tcPr>
            <w:tcW w:w="194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494CD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前景标签、像素标定、Linux/NFC和批量方式。</w:t>
            </w:r>
          </w:p>
        </w:tc>
      </w:tr>
    </w:tbl>
    <w:p w14:paraId="6DB3AF0A">
      <w:pPr>
        <w:pStyle w:val="81"/>
        <w:spacing w:after="0"/>
        <w:rPr>
          <w:b w:val="0"/>
          <w:bCs w:val="0"/>
        </w:rPr>
      </w:pPr>
    </w:p>
    <w:p w14:paraId="3AF8C7D1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荧光检测接入</w:t>
      </w:r>
    </w:p>
    <w:p w14:paraId="0E191C81">
      <w:pPr>
        <w:pStyle w:val="81"/>
        <w:rPr>
          <w:b w:val="0"/>
          <w:bCs w:val="0"/>
        </w:rPr>
      </w:pPr>
      <w:r>
        <w:rPr>
          <w:b w:val="0"/>
          <w:bCs w:val="0"/>
        </w:rPr>
        <w:t>业务流程为：上传单张荧光图像 → 校验格式与质量 → 创建检测任务 → 适配器调用荧光服务 → 返回FI缺陷框、置信度和标注图 → 专业复核 → 报告。批量检测由平台创建多个item组织，不要求工具自身一次接收多张。</w:t>
      </w:r>
    </w:p>
    <w:p w14:paraId="5F5079D1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荧光实施卡</w:t>
      </w:r>
    </w:p>
    <w:tbl>
      <w:tblPr>
        <w:tblStyle w:val="27"/>
        <w:tblW w:w="8306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6566"/>
      </w:tblGrid>
      <w:tr w14:paraId="262CDCC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4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A276C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项目</w:t>
            </w:r>
          </w:p>
        </w:tc>
        <w:tc>
          <w:tcPr>
            <w:tcW w:w="656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53BAEC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实施要求</w:t>
            </w:r>
          </w:p>
        </w:tc>
      </w:tr>
      <w:tr w14:paraId="6B16058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26C4F6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</w:t>
            </w:r>
          </w:p>
        </w:tc>
        <w:tc>
          <w:tcPr>
            <w:tcW w:w="656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70D9D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JPG为已验证格式；JPEG/PNG/TIFF须在G0验证。推荐图像约3168×4224，具体上下限以目标环境压测冻结。</w:t>
            </w:r>
          </w:p>
        </w:tc>
      </w:tr>
      <w:tr w14:paraId="3EE2C66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08F651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处理</w:t>
            </w:r>
          </w:p>
        </w:tc>
        <w:tc>
          <w:tcPr>
            <w:tcW w:w="656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62608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保持比例缩放/切片、YOLOX推理、NMS和专业后处理；适配器将现有接口映射到统一异步任务。</w:t>
            </w:r>
          </w:p>
        </w:tc>
      </w:tr>
      <w:tr w14:paraId="70E6841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055D2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输出</w:t>
            </w:r>
          </w:p>
        </w:tc>
        <w:tc>
          <w:tcPr>
            <w:tcW w:w="656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B3B21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status、summary、defects[bbox/confidence]、detection_count、artifacts；坐标回到原图。</w:t>
            </w:r>
          </w:p>
        </w:tc>
      </w:tr>
      <w:tr w14:paraId="1ED1740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EEA8AB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异常</w:t>
            </w:r>
          </w:p>
        </w:tc>
        <w:tc>
          <w:tcPr>
            <w:tcW w:w="656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A6835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损坏图返回INVALID_IMAGE；低质量或训练域外图像返回undetermined并提示复核。</w:t>
            </w:r>
          </w:p>
        </w:tc>
      </w:tr>
      <w:tr w14:paraId="7D55D67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A73AD3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前置条件</w:t>
            </w:r>
          </w:p>
        </w:tc>
        <w:tc>
          <w:tcPr>
            <w:tcW w:w="656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BE9F3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补齐/api/v1/inference、统一JSON和错误码；完成CPU-only、NFC Server 4.0、Python目标版本验证。</w:t>
            </w:r>
          </w:p>
        </w:tc>
      </w:tr>
      <w:tr w14:paraId="02DE3E5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A616B6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验收</w:t>
            </w:r>
          </w:p>
        </w:tc>
        <w:tc>
          <w:tcPr>
            <w:tcW w:w="656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8D6C3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正常/无缺陷/损坏/大图/连续100张；结果坐标、版本、标注图和日志可追溯。</w:t>
            </w:r>
          </w:p>
        </w:tc>
      </w:tr>
    </w:tbl>
    <w:p w14:paraId="2183BD09">
      <w:pPr>
        <w:pStyle w:val="81"/>
        <w:spacing w:after="0"/>
        <w:rPr>
          <w:b w:val="0"/>
          <w:bCs w:val="0"/>
        </w:rPr>
      </w:pPr>
    </w:p>
    <w:p w14:paraId="7498FB24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孔探检测接入</w:t>
      </w:r>
    </w:p>
    <w:p w14:paraId="1736A53C">
      <w:pPr>
        <w:pStyle w:val="81"/>
        <w:rPr>
          <w:b w:val="0"/>
          <w:bCs w:val="0"/>
        </w:rPr>
      </w:pPr>
      <w:r>
        <w:rPr>
          <w:b w:val="0"/>
          <w:bCs w:val="0"/>
        </w:rPr>
        <w:t>业务流程为：上传孔探单图 → 识别叶片类型 → 缺陷检测定位 → 结果复核 → 报告。工具当前按单图设计，上层批量由平台item循环完成；不在本期强制做视频流或连续帧关联。</w:t>
      </w:r>
    </w:p>
    <w:p w14:paraId="6208E068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孔探实施卡</w:t>
      </w:r>
    </w:p>
    <w:tbl>
      <w:tblPr>
        <w:tblStyle w:val="27"/>
        <w:tblW w:w="8306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0"/>
        <w:gridCol w:w="6396"/>
      </w:tblGrid>
      <w:tr w14:paraId="3A25303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1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A1DC93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项目</w:t>
            </w:r>
          </w:p>
        </w:tc>
        <w:tc>
          <w:tcPr>
            <w:tcW w:w="639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2E6B87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实施要求</w:t>
            </w:r>
          </w:p>
        </w:tc>
      </w:tr>
      <w:tr w14:paraId="310E53B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A1B3D8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</w:t>
            </w:r>
          </w:p>
        </w:tc>
        <w:tc>
          <w:tcPr>
            <w:tcW w:w="639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ABC01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JPG/JPEG、PNG、TIFF，单张静态图像，推荐1024×1024；校正EXIF方向。</w:t>
            </w:r>
          </w:p>
        </w:tc>
      </w:tr>
      <w:tr w14:paraId="0581F1F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A0602B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处理</w:t>
            </w:r>
          </w:p>
        </w:tc>
        <w:tc>
          <w:tcPr>
            <w:tcW w:w="639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0FB36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叶片二分类与裂纹、烧蚀、腐蚀等目标检测；保持比例缩放并padding。</w:t>
            </w:r>
          </w:p>
        </w:tc>
      </w:tr>
      <w:tr w14:paraId="0D21287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4F1763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输出</w:t>
            </w:r>
          </w:p>
        </w:tc>
        <w:tc>
          <w:tcPr>
            <w:tcW w:w="639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F5C3B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status、summary、defects、bbox、confidence；severity若由置信度映射，必须标明“非模型原生”，不得用于合格判定。</w:t>
            </w:r>
          </w:p>
        </w:tc>
      </w:tr>
      <w:tr w14:paraId="620FE18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74F1C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异常</w:t>
            </w:r>
          </w:p>
        </w:tc>
        <w:tc>
          <w:tcPr>
            <w:tcW w:w="639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272F5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损坏图、通道异常、大小超限使用统一错误码；严重模糊/暗光可返回undetermined。</w:t>
            </w:r>
          </w:p>
        </w:tc>
      </w:tr>
      <w:tr w14:paraId="41800DE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0D90D1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前置条件</w:t>
            </w:r>
          </w:p>
        </w:tc>
        <w:tc>
          <w:tcPr>
            <w:tcW w:w="639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ECF4B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完成FastAPI服务、CPU-only依赖锁定、NFC/Linux验证、日志和标注图产物输出。</w:t>
            </w:r>
          </w:p>
        </w:tc>
      </w:tr>
      <w:tr w14:paraId="5E12603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F6FB0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验收</w:t>
            </w:r>
          </w:p>
        </w:tc>
        <w:tc>
          <w:tcPr>
            <w:tcW w:w="639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82ED9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分类与检测均有专业阈值；无缺陷返回空数组；单图失败不影响其他item。</w:t>
            </w:r>
          </w:p>
        </w:tc>
      </w:tr>
    </w:tbl>
    <w:p w14:paraId="450AD8A6">
      <w:pPr>
        <w:pStyle w:val="81"/>
        <w:spacing w:after="0"/>
        <w:rPr>
          <w:b w:val="0"/>
          <w:bCs w:val="0"/>
        </w:rPr>
      </w:pPr>
    </w:p>
    <w:p w14:paraId="423C354F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热部图像检测接入</w:t>
      </w:r>
    </w:p>
    <w:p w14:paraId="3E24F063">
      <w:pPr>
        <w:pStyle w:val="81"/>
        <w:rPr>
          <w:b w:val="0"/>
          <w:bCs w:val="0"/>
        </w:rPr>
      </w:pPr>
      <w:r>
        <w:rPr>
          <w:b w:val="0"/>
          <w:bCs w:val="0"/>
        </w:rPr>
        <w:t>热部工具按多图和时间顺序处理，当前填报内容同时出现裂纹、掉块、烧蚀、形变和“异常齿位/固定10个齿位”等两套业务语义。该差异不是字段命名问题，而是检测对象和算法目标未冻结，必须在G0由业务方与工具团队重新确认后才能进入开发。</w:t>
      </w:r>
    </w:p>
    <w:p w14:paraId="6F8D40B3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热部图像实施卡</w:t>
      </w:r>
    </w:p>
    <w:tbl>
      <w:tblPr>
        <w:tblStyle w:val="27"/>
        <w:tblW w:w="8306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0"/>
        <w:gridCol w:w="6396"/>
      </w:tblGrid>
      <w:tr w14:paraId="1B369C6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1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67EDE3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项目</w:t>
            </w:r>
          </w:p>
        </w:tc>
        <w:tc>
          <w:tcPr>
            <w:tcW w:w="639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ED1665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实施要求</w:t>
            </w:r>
          </w:p>
        </w:tc>
      </w:tr>
      <w:tr w14:paraId="5745C1A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C74465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</w:t>
            </w:r>
          </w:p>
        </w:tc>
        <w:tc>
          <w:tcPr>
            <w:tcW w:w="639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E802A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JPG/JPEG/PNG，多图+元数据，最多30张，顺序具有时间语义；请求使用images与manifest描述每张图。</w:t>
            </w:r>
          </w:p>
        </w:tc>
      </w:tr>
      <w:tr w14:paraId="0685A83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97B66C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处理</w:t>
            </w:r>
          </w:p>
        </w:tc>
        <w:tc>
          <w:tcPr>
            <w:tcW w:w="639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9E911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多帧平均、灰度化、对比度增强及模型推理；是否为齿位异常检测须先确认。</w:t>
            </w:r>
          </w:p>
        </w:tc>
      </w:tr>
      <w:tr w14:paraId="0C980E3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6A6AA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输出</w:t>
            </w:r>
          </w:p>
        </w:tc>
        <w:tc>
          <w:tcPr>
            <w:tcW w:w="639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352FD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冻结一套专业Schema：若为通用缺陷输出defects；若为齿位异常输出abnormal_teeth及齿位分数，二者不可混用。</w:t>
            </w:r>
          </w:p>
        </w:tc>
      </w:tr>
      <w:tr w14:paraId="5485206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88E936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异常</w:t>
            </w:r>
          </w:p>
        </w:tc>
        <w:tc>
          <w:tcPr>
            <w:tcW w:w="639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C2381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缺帧、顺序冲突、元数据不足、图像损坏应逐项报错；不能静默丢弃时间序列。</w:t>
            </w:r>
          </w:p>
        </w:tc>
      </w:tr>
      <w:tr w14:paraId="707126D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53DC5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前置条件</w:t>
            </w:r>
          </w:p>
        </w:tc>
        <w:tc>
          <w:tcPr>
            <w:tcW w:w="639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8E0D9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明确正式对象、标签、部件名称、样例和期望结果；补齐部署交付、性能和API证据。</w:t>
            </w:r>
          </w:p>
        </w:tc>
      </w:tr>
      <w:tr w14:paraId="7A261F0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8CDDE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验收</w:t>
            </w:r>
          </w:p>
        </w:tc>
        <w:tc>
          <w:tcPr>
            <w:tcW w:w="639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9A8DC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业务专家确认Schema后，用完整时间序列、缺帧、乱序和边界数量用例验收。</w:t>
            </w:r>
          </w:p>
        </w:tc>
      </w:tr>
    </w:tbl>
    <w:p w14:paraId="3C91E1A6">
      <w:pPr>
        <w:pStyle w:val="81"/>
        <w:spacing w:after="0"/>
        <w:rPr>
          <w:b w:val="0"/>
          <w:bCs w:val="0"/>
        </w:rPr>
      </w:pPr>
    </w:p>
    <w:p w14:paraId="50B29AE9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X射线检测接入</w:t>
      </w:r>
    </w:p>
    <w:p w14:paraId="1B7B13AF">
      <w:pPr>
        <w:pStyle w:val="81"/>
        <w:rPr>
          <w:b w:val="0"/>
          <w:bCs w:val="0"/>
        </w:rPr>
      </w:pPr>
      <w:r>
        <w:rPr>
          <w:b w:val="0"/>
          <w:bCs w:val="0"/>
        </w:rPr>
        <w:t>业务流程为：创建成组任务 → 上传2至20个OPI文件 → 工具解析内部状态、时间、转速等元数据 → 建立参考状态与目标状态对应 → 识别关键结构和关键点 → 计算二维位移 → 对照展示和复核。文件上传顺序不作为参考/目标语义。</w:t>
      </w:r>
    </w:p>
    <w:p w14:paraId="70ECECDC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X射线实施卡</w:t>
      </w:r>
    </w:p>
    <w:tbl>
      <w:tblPr>
        <w:tblStyle w:val="27"/>
        <w:tblW w:w="8306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3"/>
        <w:gridCol w:w="6383"/>
      </w:tblGrid>
      <w:tr w14:paraId="7F567C5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69EFD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项目</w:t>
            </w:r>
          </w:p>
        </w:tc>
        <w:tc>
          <w:tcPr>
            <w:tcW w:w="638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1EE98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实施要求</w:t>
            </w:r>
          </w:p>
        </w:tc>
      </w:tr>
      <w:tr w14:paraId="06F3E4B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CE68E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</w:t>
            </w:r>
          </w:p>
        </w:tc>
        <w:tc>
          <w:tcPr>
            <w:tcW w:w="638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7B256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OPI成组文件2至20个；平台保存原始顺序，工具依据OPI内部元数据确定reference/target。</w:t>
            </w:r>
          </w:p>
        </w:tc>
      </w:tr>
      <w:tr w14:paraId="5163F10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3D129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处理</w:t>
            </w:r>
          </w:p>
        </w:tc>
        <w:tc>
          <w:tcPr>
            <w:tcW w:w="638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9A3E2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OPI解析、结构识别、关键点定位、跨状态匹配和二维位移计算。</w:t>
            </w:r>
          </w:p>
        </w:tc>
      </w:tr>
      <w:tr w14:paraId="0EB4E38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96CB81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输出</w:t>
            </w:r>
          </w:p>
        </w:tc>
        <w:tc>
          <w:tcPr>
            <w:tcW w:w="638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D3AC7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images元数据、structure、reference/target关键点、dx/dy/displacement像素值；有有效标定时才输出毫米值。</w:t>
            </w:r>
          </w:p>
        </w:tc>
      </w:tr>
      <w:tr w14:paraId="270D704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BC4DF8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异常</w:t>
            </w:r>
          </w:p>
        </w:tc>
        <w:tc>
          <w:tcPr>
            <w:tcW w:w="638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D68BD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非OPI、损坏OPI、状态元数据冲突、无法配对应返回明确错误；不得根据文件名猜测状态。</w:t>
            </w:r>
          </w:p>
        </w:tc>
      </w:tr>
      <w:tr w14:paraId="2EABB2F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C931E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前置条件</w:t>
            </w:r>
          </w:p>
        </w:tc>
        <w:tc>
          <w:tcPr>
            <w:tcW w:w="638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6EF51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从Windows 11开发环境适配至NFC Server 4.0；模型大小、SHA256、OPI字段和性能须实测。</w:t>
            </w:r>
          </w:p>
        </w:tc>
      </w:tr>
      <w:tr w14:paraId="482F028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E0096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验收</w:t>
            </w:r>
          </w:p>
        </w:tc>
        <w:tc>
          <w:tcPr>
            <w:tcW w:w="638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6B1BA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至少一组明确参考/目标样例，验证配对、正负方向、像素/毫米换算和低置信度复核。</w:t>
            </w:r>
          </w:p>
        </w:tc>
      </w:tr>
    </w:tbl>
    <w:p w14:paraId="525AAADB">
      <w:pPr>
        <w:pStyle w:val="81"/>
        <w:spacing w:after="0"/>
        <w:rPr>
          <w:b w:val="0"/>
          <w:bCs w:val="0"/>
        </w:rPr>
      </w:pPr>
    </w:p>
    <w:p w14:paraId="4E150311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断口检测接入</w:t>
      </w:r>
    </w:p>
    <w:p w14:paraId="604A50AB">
      <w:pPr>
        <w:pStyle w:val="81"/>
        <w:rPr>
          <w:b w:val="0"/>
          <w:bCs w:val="0"/>
        </w:rPr>
      </w:pPr>
      <w:r>
        <w:rPr>
          <w:b w:val="0"/>
          <w:bCs w:val="0"/>
        </w:rPr>
        <w:t>业务流程依据图像类型分支：先进行韧窝、解理、沿晶、疲劳形貌分类；对适用的宏观疲劳图像执行扩展区/瞬断区分割；对适用的微观疲劳图像执行条带间距测量、等效应力和寿命反推。非疲劳图像不进入疲劳计算分支。</w:t>
      </w:r>
    </w:p>
    <w:p w14:paraId="6C23FD9D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断口实施卡</w:t>
      </w:r>
    </w:p>
    <w:tbl>
      <w:tblPr>
        <w:tblStyle w:val="27"/>
        <w:tblW w:w="8306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7"/>
        <w:gridCol w:w="6409"/>
      </w:tblGrid>
      <w:tr w14:paraId="49A6018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9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91317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项目</w:t>
            </w:r>
          </w:p>
        </w:tc>
        <w:tc>
          <w:tcPr>
            <w:tcW w:w="640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09804E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实施要求</w:t>
            </w:r>
          </w:p>
        </w:tc>
      </w:tr>
      <w:tr w14:paraId="1EF0081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9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23D0B1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</w:t>
            </w:r>
          </w:p>
        </w:tc>
        <w:tc>
          <w:tcPr>
            <w:tcW w:w="640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F238F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JPG/JPEG/PNG断口SEM图像；工作簿“成组图像”与接口“单图”矛盾须冻结，批量建议由平台item组织。</w:t>
            </w:r>
          </w:p>
        </w:tc>
      </w:tr>
      <w:tr w14:paraId="5C0E285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9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ED292B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处理</w:t>
            </w:r>
          </w:p>
        </w:tc>
        <w:tc>
          <w:tcPr>
            <w:tcW w:w="640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D7004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形貌分类、条件分割、条带测量和经确认公式计算；保存公式、输入和计算过程。</w:t>
            </w:r>
          </w:p>
        </w:tc>
      </w:tr>
      <w:tr w14:paraId="0E54129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9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3B9197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输出</w:t>
            </w:r>
          </w:p>
        </w:tc>
        <w:tc>
          <w:tcPr>
            <w:tcW w:w="640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8C551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fracture_type、confidence、segmentation、mean_spacing、estimated_stress、estimated_life、calc_process。</w:t>
            </w:r>
          </w:p>
        </w:tc>
      </w:tr>
      <w:tr w14:paraId="33EBC18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9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335AE7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异常</w:t>
            </w:r>
          </w:p>
        </w:tc>
        <w:tc>
          <w:tcPr>
            <w:tcW w:w="640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ADC5C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不适用分支返回null并解释原因；低质量图像不得输出虚假寿命。</w:t>
            </w:r>
          </w:p>
        </w:tc>
      </w:tr>
      <w:tr w14:paraId="06578ED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9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98226E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前置条件</w:t>
            </w:r>
          </w:p>
        </w:tc>
        <w:tc>
          <w:tcPr>
            <w:tcW w:w="640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D9EA3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消除OCR运行时公网依赖或改为离线组件；适配Python 3.11/NFC；锁定模型哈希、配置和资源。</w:t>
            </w:r>
          </w:p>
        </w:tc>
      </w:tr>
      <w:tr w14:paraId="0199F6B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9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E5AD5C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验收</w:t>
            </w:r>
          </w:p>
        </w:tc>
        <w:tc>
          <w:tcPr>
            <w:tcW w:w="640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1B700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四类形貌、宏观疲劳、微观疲劳、非疲劳和无有效条带用例分别验收，计算结果由专业人员复核。</w:t>
            </w:r>
          </w:p>
        </w:tc>
      </w:tr>
    </w:tbl>
    <w:p w14:paraId="751D5720">
      <w:pPr>
        <w:pStyle w:val="81"/>
        <w:spacing w:after="0"/>
        <w:rPr>
          <w:b w:val="0"/>
          <w:bCs w:val="0"/>
        </w:rPr>
      </w:pPr>
    </w:p>
    <w:p w14:paraId="591FE3E1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金相检测接入</w:t>
      </w:r>
    </w:p>
    <w:p w14:paraId="5842D8C8">
      <w:pPr>
        <w:pStyle w:val="81"/>
        <w:rPr>
          <w:b w:val="0"/>
          <w:bCs w:val="0"/>
        </w:rPr>
      </w:pPr>
      <w:r>
        <w:rPr>
          <w:b w:val="0"/>
          <w:bCs w:val="0"/>
        </w:rPr>
        <w:t>业务流程为：上传显微组织图像 → 读取或确认像素标定 → 确认前景相定义 → U-Net分割 → 颗粒与通道后处理 → 输出面积分数、颗粒数量/尺寸、通道宽度和结果图 → 复核。无物理标定时保留像素单位，不换算微米。</w:t>
      </w:r>
    </w:p>
    <w:p w14:paraId="7353A75F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金相实施卡</w:t>
      </w:r>
    </w:p>
    <w:tbl>
      <w:tblPr>
        <w:tblStyle w:val="27"/>
        <w:tblW w:w="8306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8"/>
        <w:gridCol w:w="6448"/>
      </w:tblGrid>
      <w:tr w14:paraId="5ECAFF0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5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0BE44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项目</w:t>
            </w:r>
          </w:p>
        </w:tc>
        <w:tc>
          <w:tcPr>
            <w:tcW w:w="644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8BA0C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实施要求</w:t>
            </w:r>
          </w:p>
        </w:tc>
      </w:tr>
      <w:tr w14:paraId="3DDB424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5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36BC26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</w:t>
            </w:r>
          </w:p>
        </w:tc>
        <w:tc>
          <w:tcPr>
            <w:tcW w:w="644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5C3D1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PNG/JPG/JPEG/TIFF，单图API；批量在平台任务层组织。推荐2048×2048，采用512×512滑窗。</w:t>
            </w:r>
          </w:p>
        </w:tc>
      </w:tr>
      <w:tr w14:paraId="5D13950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5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476CD1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处理</w:t>
            </w:r>
          </w:p>
        </w:tc>
        <w:tc>
          <w:tcPr>
            <w:tcW w:w="644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084DB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解码、归一化、padding、滑窗分割、连通域与通道测量。</w:t>
            </w:r>
          </w:p>
        </w:tc>
      </w:tr>
      <w:tr w14:paraId="08E046A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5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FBF1C6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输出</w:t>
            </w:r>
          </w:p>
        </w:tc>
        <w:tc>
          <w:tcPr>
            <w:tcW w:w="644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D5EB9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γ/γ′面积分数、颗粒总数/有效数、平均面积/直径、通道宽度、mask/overlay/CSV等产物。</w:t>
            </w:r>
          </w:p>
        </w:tc>
      </w:tr>
      <w:tr w14:paraId="079CECB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5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37955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异常</w:t>
            </w:r>
          </w:p>
        </w:tc>
        <w:tc>
          <w:tcPr>
            <w:tcW w:w="644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D493B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前景标签未冻结时不得上线定量字段；无标定时物理单位字段为null。</w:t>
            </w:r>
          </w:p>
        </w:tc>
      </w:tr>
      <w:tr w14:paraId="554C82C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5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13247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前置条件</w:t>
            </w:r>
          </w:p>
        </w:tc>
        <w:tc>
          <w:tcPr>
            <w:tcW w:w="644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12365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冻结foreground_label、标定来源和筛选规则；验证NFC/Linux及Python依赖；明确异步批量方案。</w:t>
            </w:r>
          </w:p>
        </w:tc>
      </w:tr>
      <w:tr w14:paraId="63C121D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5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978075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验收</w:t>
            </w:r>
          </w:p>
        </w:tc>
        <w:tc>
          <w:tcPr>
            <w:tcW w:w="644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C8423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分割叠加、面积互补、颗粒筛选、边界颗粒、无颗粒、无标定及大图滑窗用例。</w:t>
            </w:r>
          </w:p>
        </w:tc>
      </w:tr>
    </w:tbl>
    <w:p w14:paraId="3A506A4E">
      <w:pPr>
        <w:pStyle w:val="81"/>
        <w:spacing w:after="0"/>
        <w:rPr>
          <w:b w:val="0"/>
          <w:bCs w:val="0"/>
        </w:rPr>
      </w:pPr>
    </w:p>
    <w:p w14:paraId="72849C80">
      <w:pPr>
        <w:pStyle w:val="80"/>
        <w:keepNext/>
        <w:keepLines/>
        <w:rPr>
          <w:b w:val="0"/>
          <w:bCs w:val="0"/>
        </w:rPr>
      </w:pPr>
      <w:bookmarkStart w:id="68" w:name="_Toc26139"/>
      <w:r>
        <w:rPr>
          <w:rFonts w:hint="eastAsia"/>
          <w:b w:val="0"/>
          <w:bCs w:val="0"/>
          <w:lang w:val="en-US" w:eastAsia="zh-CN"/>
        </w:rPr>
        <w:t>模型工坊模块</w:t>
      </w:r>
      <w:r>
        <w:rPr>
          <w:b w:val="0"/>
          <w:bCs w:val="0"/>
        </w:rPr>
        <w:t>实施方案</w:t>
      </w:r>
      <w:bookmarkEnd w:id="68"/>
    </w:p>
    <w:p w14:paraId="019D9D11">
      <w:pPr>
        <w:pStyle w:val="81"/>
        <w:rPr>
          <w:b w:val="0"/>
          <w:bCs w:val="0"/>
        </w:rPr>
      </w:pPr>
      <w:r>
        <w:rPr>
          <w:b w:val="0"/>
          <w:bCs w:val="0"/>
        </w:rPr>
        <w:t>模型迭代与检测业务使用同一权限、任务、资产和版本体系，但检测队列与训练队列独立配置。平台统一发起和记录，专业工具提供标注逻辑、训练实现、评估指标和模型装载能力。</w:t>
      </w:r>
    </w:p>
    <w:p w14:paraId="2490AC79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模型迭代模块实施内容</w:t>
      </w:r>
    </w:p>
    <w:tbl>
      <w:tblPr>
        <w:tblStyle w:val="27"/>
        <w:tblW w:w="8305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8"/>
        <w:gridCol w:w="2166"/>
        <w:gridCol w:w="1599"/>
        <w:gridCol w:w="1661"/>
        <w:gridCol w:w="1661"/>
      </w:tblGrid>
      <w:tr w14:paraId="6844BEB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1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9BB27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环节</w:t>
            </w:r>
          </w:p>
        </w:tc>
        <w:tc>
          <w:tcPr>
            <w:tcW w:w="216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D5318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建设功能</w:t>
            </w:r>
          </w:p>
        </w:tc>
        <w:tc>
          <w:tcPr>
            <w:tcW w:w="159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1970D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8D75F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输出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C9AA5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验收重点</w:t>
            </w:r>
          </w:p>
        </w:tc>
      </w:tr>
      <w:tr w14:paraId="62DB6FB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1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15B3FC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候选样本</w:t>
            </w:r>
          </w:p>
        </w:tc>
        <w:tc>
          <w:tcPr>
            <w:tcW w:w="216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B9783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误检/漏检/争议反馈、去重、专业确认</w:t>
            </w:r>
          </w:p>
        </w:tc>
        <w:tc>
          <w:tcPr>
            <w:tcW w:w="159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3EC4A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任务、结果、人工原因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719B3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CandidateSample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84618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候选池不自动进入训练集。</w:t>
            </w:r>
          </w:p>
        </w:tc>
      </w:tr>
      <w:tr w14:paraId="051A723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1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A050D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标注</w:t>
            </w:r>
          </w:p>
        </w:tc>
        <w:tc>
          <w:tcPr>
            <w:tcW w:w="216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4A655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任务分派、预标注、保存、复核、导出</w:t>
            </w:r>
          </w:p>
        </w:tc>
        <w:tc>
          <w:tcPr>
            <w:tcW w:w="159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1CE78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样本、label_schema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39DBC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AnnotationRevision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2FE36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越界、缺标签和版本可校验。</w:t>
            </w:r>
          </w:p>
        </w:tc>
      </w:tr>
      <w:tr w14:paraId="49BE60A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1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ADF2B6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数据集</w:t>
            </w:r>
          </w:p>
        </w:tc>
        <w:tc>
          <w:tcPr>
            <w:tcW w:w="216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A1723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筛选、分组、train/validation/test划分、冻结</w:t>
            </w:r>
          </w:p>
        </w:tc>
        <w:tc>
          <w:tcPr>
            <w:tcW w:w="159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9C596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已复核标注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50478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DatasetVersion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40337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同一零件近重复样本防泄漏。</w:t>
            </w:r>
          </w:p>
        </w:tc>
      </w:tr>
      <w:tr w14:paraId="4F8E971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1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BFE35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训练</w:t>
            </w:r>
          </w:p>
        </w:tc>
        <w:tc>
          <w:tcPr>
            <w:tcW w:w="216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93879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配置、资源档位、日志、检查点、取消</w:t>
            </w:r>
          </w:p>
        </w:tc>
        <w:tc>
          <w:tcPr>
            <w:tcW w:w="159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10D75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冻结数据集、基线模型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59743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CandidateModel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2B222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训练结束不自动发布。</w:t>
            </w:r>
          </w:p>
        </w:tc>
      </w:tr>
      <w:tr w14:paraId="31CD98F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1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6721AE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评估</w:t>
            </w:r>
          </w:p>
        </w:tc>
        <w:tc>
          <w:tcPr>
            <w:tcW w:w="216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95FE9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冻结测试集、指标、分类别/场景、回归对比</w:t>
            </w:r>
          </w:p>
        </w:tc>
        <w:tc>
          <w:tcPr>
            <w:tcW w:w="159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50BAD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候选与生产模型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58D5B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EvaluationRecord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B1837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关键缺陷不得被平均指标掩盖。</w:t>
            </w:r>
          </w:p>
        </w:tc>
      </w:tr>
      <w:tr w14:paraId="0A9D8E5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1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5D64B8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发布/回滚</w:t>
            </w:r>
          </w:p>
        </w:tc>
        <w:tc>
          <w:tcPr>
            <w:tcW w:w="216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580DD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审批、健康检查、模型切换、版本固定</w:t>
            </w:r>
          </w:p>
        </w:tc>
        <w:tc>
          <w:tcPr>
            <w:tcW w:w="159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B3FCA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已验证模型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E6B8E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ActiveModel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82A14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新旧任务版本不混用，失败可回滚。</w:t>
            </w:r>
          </w:p>
        </w:tc>
      </w:tr>
    </w:tbl>
    <w:p w14:paraId="35DE2539">
      <w:pPr>
        <w:pStyle w:val="81"/>
        <w:spacing w:after="0"/>
        <w:rPr>
          <w:b w:val="0"/>
          <w:bCs w:val="0"/>
        </w:rPr>
      </w:pPr>
    </w:p>
    <w:p w14:paraId="4D2CC875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标注工具接入方式</w:t>
      </w:r>
    </w:p>
    <w:p w14:paraId="65E2C60A">
      <w:pPr>
        <w:pStyle w:val="113"/>
        <w:numPr>
          <w:ilvl w:val="0"/>
          <w:numId w:val="21"/>
        </w:numPr>
        <w:rPr>
          <w:b w:val="0"/>
          <w:bCs w:val="0"/>
        </w:rPr>
      </w:pPr>
      <w:r>
        <w:rPr>
          <w:b w:val="0"/>
          <w:bCs w:val="0"/>
        </w:rPr>
        <w:t>已有Web标注界面时，通过受控会话嵌入，绑定用户、项目、任务和有效期；保存后回传revision_id。</w:t>
      </w:r>
    </w:p>
    <w:p w14:paraId="654B1495">
      <w:pPr>
        <w:pStyle w:val="113"/>
        <w:numPr>
          <w:ilvl w:val="0"/>
          <w:numId w:val="21"/>
        </w:numPr>
        <w:rPr>
          <w:b w:val="0"/>
          <w:bCs w:val="0"/>
        </w:rPr>
      </w:pPr>
      <w:r>
        <w:rPr>
          <w:b w:val="0"/>
          <w:bCs w:val="0"/>
        </w:rPr>
        <w:t>无可嵌入页面时，工具提供标签模板、图形编辑协议及保存/读取/校验API，由平台渲染。</w:t>
      </w:r>
    </w:p>
    <w:p w14:paraId="0A43B1FE">
      <w:pPr>
        <w:pStyle w:val="113"/>
        <w:numPr>
          <w:ilvl w:val="0"/>
          <w:numId w:val="21"/>
        </w:numPr>
        <w:rPr>
          <w:b w:val="0"/>
          <w:bCs w:val="0"/>
        </w:rPr>
      </w:pPr>
      <w:r>
        <w:rPr>
          <w:b w:val="0"/>
          <w:bCs w:val="0"/>
        </w:rPr>
        <w:t>仅启动桌面程序、人工搬运文件或只交付格式说明，不满足在线闭环验收。</w:t>
      </w:r>
    </w:p>
    <w:p w14:paraId="45A8E938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发布事务与版本固定</w:t>
      </w:r>
    </w:p>
    <w:p w14:paraId="2A13E7DC">
      <w:pPr>
        <w:pStyle w:val="81"/>
        <w:rPr>
          <w:b w:val="0"/>
          <w:bCs w:val="0"/>
        </w:rPr>
      </w:pPr>
      <w:r>
        <w:rPr>
          <w:b w:val="0"/>
          <w:bCs w:val="0"/>
        </w:rPr>
        <w:t>发布请求包含候选模型、环境、当前生产版本、评估记录、确认记录和原因。平台以工具和环境加锁，工具装载候选后执行健康检查和固定样例；全部通过后，平台原子更新默认版本。队列中已受理任务继续使用resolved_model_version，新任务使用新默认版本。</w:t>
      </w:r>
    </w:p>
    <w:p w14:paraId="18487A2A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功能点实施卡</w:t>
      </w:r>
    </w:p>
    <w:p w14:paraId="73E28EE0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模型工坊模块功能点实施卡</w:t>
      </w:r>
    </w:p>
    <w:tbl>
      <w:tblPr>
        <w:tblStyle w:val="27"/>
        <w:tblW w:w="8304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4422F3F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F6272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功能点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2F06AB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实现方式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4521C5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技术方案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CF83E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输入输出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2AF31B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异常处置原则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72303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所需资源</w:t>
            </w:r>
          </w:p>
        </w:tc>
      </w:tr>
      <w:tr w14:paraId="29B232F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77CE0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候选样本池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72EFF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误检/漏检/争议反馈经去重和专业确认后进入候选池，不自动进入训练集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AA8B5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候选样本表+去重规则（按图像哈希/任务关联）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7F4ED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输入：任务结果+人工标记原因；输出：CandidateSample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A35A2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未经专业确认的反馈不计入候选池统计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AF2B0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平台开发约2人天</w:t>
            </w:r>
          </w:p>
        </w:tc>
      </w:tr>
      <w:tr w14:paraId="7847889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66117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标注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5FBD8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任务分派、预标注、保存、复核、导出；有Web界面则受控嵌入，无则平台按Schema渲染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31255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受控会话嵌入（绑定用户/项目/有效期）或平台原生标注组件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228DD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输入：CandidateSample+label_schema；输出：AnnotationRevision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C4B8C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越界标注或缺标签拦截保存，提示修正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17493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平台+工具团队约5人天（视对接方式）</w:t>
            </w:r>
          </w:p>
        </w:tc>
      </w:tr>
      <w:tr w14:paraId="3A6A976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9BCB2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数据集冻结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385B5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筛选、分组、划分train/validation/test后冻结，防止同零件近重复样本跨集泄漏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BCC49E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分组去重算法（按零件/批次group_key）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3AFA3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输入：已复核标注；输出：DatasetVersion（含split）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4204E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冻结后不可修改，变更须生成新版本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0151D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平台+算法团队约3人天</w:t>
            </w:r>
          </w:p>
        </w:tc>
      </w:tr>
      <w:tr w14:paraId="28B4564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F572DC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训练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ABFF6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配置参数和资源档位，记录日志和检查点，支持取消；训练结束不自动发布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DD6A95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训练队列与检测队列独立配置，避免资源争抢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2BFDA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输入：冻结数据集+基线模型+资源配置；输出：CandidateModel+日志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D0D2F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训练失败保留检查点，允许断点恢复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3C19B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算法团队+训练资源（G3前单独确认）</w:t>
            </w:r>
          </w:p>
        </w:tc>
      </w:tr>
      <w:tr w14:paraId="0FA0AFB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D53333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评估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AABE0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用冻结测试集对候选和生产模型做分类别/场景对比，关键缺陷不被平均指标掩盖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7CD615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业务确认的专业阈值（非单一通用准确率）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FDE6B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输入：候选/生产模型+冻结测试集；输出：EvaluationRecord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5BCDD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评估未通过的模型不得进入发布候选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83F9F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算法+业务联合评审约3人天</w:t>
            </w:r>
          </w:p>
        </w:tc>
      </w:tr>
      <w:tr w14:paraId="1159658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A7B2C3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发布/回滚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C2F14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装载候选后执行健康检查和固定样例，全部通过后原子更新默认版本；失败可回滚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A6A8F3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版本固定+原子切换，新旧任务版本不混用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82085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输入：候选模型+评估记录+审批；输出：ActiveModel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D380E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已受理任务续用旧版本，新任务用新版本，避免混用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776AE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发布管理员+工具团队约2人天</w:t>
            </w:r>
          </w:p>
        </w:tc>
      </w:tr>
    </w:tbl>
    <w:p w14:paraId="7884E116">
      <w:pPr>
        <w:pStyle w:val="80"/>
        <w:keepNext/>
        <w:keepLines/>
        <w:rPr>
          <w:b w:val="0"/>
          <w:bCs w:val="0"/>
        </w:rPr>
      </w:pPr>
      <w:bookmarkStart w:id="69" w:name="_Toc16273"/>
      <w:r>
        <w:rPr>
          <w:b w:val="0"/>
          <w:bCs w:val="0"/>
        </w:rPr>
        <w:t>知识中心实施方案</w:t>
      </w:r>
      <w:bookmarkEnd w:id="69"/>
    </w:p>
    <w:p w14:paraId="5CE19922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专业资料入库</w:t>
      </w:r>
    </w:p>
    <w:p w14:paraId="3697ADFC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专业资料入库流程</w:t>
      </w:r>
    </w:p>
    <w:tbl>
      <w:tblPr>
        <w:tblStyle w:val="27"/>
        <w:tblW w:w="8304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5"/>
        <w:gridCol w:w="2505"/>
        <w:gridCol w:w="2258"/>
        <w:gridCol w:w="2076"/>
      </w:tblGrid>
      <w:tr w14:paraId="28E5B6A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6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6780CC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步骤</w:t>
            </w:r>
          </w:p>
        </w:tc>
        <w:tc>
          <w:tcPr>
            <w:tcW w:w="250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AF522E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操作</w:t>
            </w:r>
          </w:p>
        </w:tc>
        <w:tc>
          <w:tcPr>
            <w:tcW w:w="225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98BA4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关键数据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C56A58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异常处置</w:t>
            </w:r>
          </w:p>
        </w:tc>
      </w:tr>
      <w:tr w14:paraId="06405C4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5B3FF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提交</w:t>
            </w:r>
          </w:p>
        </w:tc>
        <w:tc>
          <w:tcPr>
            <w:tcW w:w="250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31E04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上传标准、说明、案例、标签定义等资料。</w:t>
            </w:r>
          </w:p>
        </w:tc>
        <w:tc>
          <w:tcPr>
            <w:tcW w:w="225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24783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标题、版本、专业、适用范围、权限。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E5056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缺版本或权限信息时不发布。</w:t>
            </w:r>
          </w:p>
        </w:tc>
      </w:tr>
      <w:tr w14:paraId="284E252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50163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解析</w:t>
            </w:r>
          </w:p>
        </w:tc>
        <w:tc>
          <w:tcPr>
            <w:tcW w:w="250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16B60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提取正文、表格、图片OCR和元数据。</w:t>
            </w:r>
          </w:p>
        </w:tc>
        <w:tc>
          <w:tcPr>
            <w:tcW w:w="225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C64DB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原文件、解析文本、页码映射。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11140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解析失败保留原文件并进入待处理。</w:t>
            </w:r>
          </w:p>
        </w:tc>
      </w:tr>
      <w:tr w14:paraId="41A4117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321231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审核</w:t>
            </w:r>
          </w:p>
        </w:tc>
        <w:tc>
          <w:tcPr>
            <w:tcW w:w="250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488B6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专业人员确认类别、标签和有效性。</w:t>
            </w:r>
          </w:p>
        </w:tc>
        <w:tc>
          <w:tcPr>
            <w:tcW w:w="225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9EA66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审核人、时间、结论。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46DA2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未审核资料不进入权威知识范围。</w:t>
            </w:r>
          </w:p>
        </w:tc>
      </w:tr>
      <w:tr w14:paraId="674F1DA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DC2E9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索引</w:t>
            </w:r>
          </w:p>
        </w:tc>
        <w:tc>
          <w:tcPr>
            <w:tcW w:w="250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636EE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分块、向量化、权限映射和发布。</w:t>
            </w:r>
          </w:p>
        </w:tc>
        <w:tc>
          <w:tcPr>
            <w:tcW w:w="225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E000D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chunk、source、ACL、版本。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A3B02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索引失败不影响原文件存档。</w:t>
            </w:r>
          </w:p>
        </w:tc>
      </w:tr>
      <w:tr w14:paraId="1F38813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1BCD0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检索引用</w:t>
            </w:r>
          </w:p>
        </w:tc>
        <w:tc>
          <w:tcPr>
            <w:tcW w:w="250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09524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先权限过滤，再检索并返回来源。</w:t>
            </w:r>
          </w:p>
        </w:tc>
        <w:tc>
          <w:tcPr>
            <w:tcW w:w="225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58728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标准号、版本、页码/条款。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29B39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无依据时不生成肯定结论。</w:t>
            </w:r>
          </w:p>
        </w:tc>
      </w:tr>
    </w:tbl>
    <w:p w14:paraId="66A3D82F">
      <w:pPr>
        <w:pStyle w:val="81"/>
        <w:spacing w:after="0"/>
        <w:rPr>
          <w:b w:val="0"/>
          <w:bCs w:val="0"/>
        </w:rPr>
      </w:pPr>
    </w:p>
    <w:p w14:paraId="1850517C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内网知识采集智能体</w:t>
      </w:r>
    </w:p>
    <w:p w14:paraId="46228F55">
      <w:pPr>
        <w:pStyle w:val="81"/>
        <w:rPr>
          <w:b w:val="0"/>
          <w:bCs w:val="0"/>
        </w:rPr>
      </w:pPr>
      <w:r>
        <w:rPr>
          <w:b w:val="0"/>
          <w:bCs w:val="0"/>
        </w:rPr>
        <w:t>采集智能体仅访问管理员配置的内网白名单，支持按栏目、关键词、时间范围和文档类型筛选。流水线为发现条目、条件过滤、抓取全文/附件、完整性校验、来源ID与哈希去重、解析/OCR、分类、权限映射和索引发布。</w:t>
      </w:r>
    </w:p>
    <w:p w14:paraId="5E8598ED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采集任务实施卡</w:t>
      </w:r>
    </w:p>
    <w:tbl>
      <w:tblPr>
        <w:tblStyle w:val="27"/>
        <w:tblW w:w="8306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6"/>
        <w:gridCol w:w="6540"/>
      </w:tblGrid>
      <w:tr w14:paraId="31B0755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6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05EB5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项目</w:t>
            </w:r>
          </w:p>
        </w:tc>
        <w:tc>
          <w:tcPr>
            <w:tcW w:w="654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1CEE86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实施要求</w:t>
            </w:r>
          </w:p>
        </w:tc>
      </w:tr>
      <w:tr w14:paraId="486878B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6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E5DF95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</w:t>
            </w:r>
          </w:p>
        </w:tc>
        <w:tc>
          <w:tcPr>
            <w:tcW w:w="654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8C61E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白名单站点、筛选条件、账号/会话、目标知识库、执行方式。</w:t>
            </w:r>
          </w:p>
        </w:tc>
      </w:tr>
      <w:tr w14:paraId="5A0B662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6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236656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输出</w:t>
            </w:r>
          </w:p>
        </w:tc>
        <w:tc>
          <w:tcPr>
            <w:tcW w:w="654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696D3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发现数、成功数、重复数、跳过数、失败数、Document与SourceVersion。</w:t>
            </w:r>
          </w:p>
        </w:tc>
      </w:tr>
      <w:tr w14:paraId="5E508CA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6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A0C111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执行</w:t>
            </w:r>
          </w:p>
        </w:tc>
        <w:tc>
          <w:tcPr>
            <w:tcW w:w="654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E4AF3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支持一次性批量和按更新时间/版本/哈希的增量更新；失败项单独重试。</w:t>
            </w:r>
          </w:p>
        </w:tc>
      </w:tr>
      <w:tr w14:paraId="510183B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6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E1A13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安全</w:t>
            </w:r>
          </w:p>
        </w:tc>
        <w:tc>
          <w:tcPr>
            <w:tcW w:w="654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2F349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限制访问地址、文件大小、解压深度、脚本执行和凭证可见性。</w:t>
            </w:r>
          </w:p>
        </w:tc>
      </w:tr>
      <w:tr w14:paraId="60F99CB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6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0561A3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验收</w:t>
            </w:r>
          </w:p>
        </w:tc>
        <w:tc>
          <w:tcPr>
            <w:tcW w:w="654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89297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白名单外地址不可访问；重复文档不重复入库；更新能形成新版本并保留来源。</w:t>
            </w:r>
          </w:p>
        </w:tc>
      </w:tr>
    </w:tbl>
    <w:p w14:paraId="3CE422CF">
      <w:pPr>
        <w:pStyle w:val="81"/>
        <w:spacing w:after="0"/>
        <w:rPr>
          <w:b w:val="0"/>
          <w:bCs w:val="0"/>
        </w:rPr>
      </w:pPr>
    </w:p>
    <w:p w14:paraId="4DF00BC1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功能点实施卡</w:t>
      </w:r>
    </w:p>
    <w:p w14:paraId="3DD9EEC6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知识中心模块功能点实施卡</w:t>
      </w:r>
    </w:p>
    <w:tbl>
      <w:tblPr>
        <w:tblStyle w:val="27"/>
        <w:tblW w:w="8304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9"/>
        <w:gridCol w:w="1409"/>
        <w:gridCol w:w="1384"/>
        <w:gridCol w:w="1384"/>
        <w:gridCol w:w="1384"/>
        <w:gridCol w:w="1384"/>
      </w:tblGrid>
      <w:tr w14:paraId="638C1D7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5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AFBC3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功能点</w:t>
            </w:r>
          </w:p>
        </w:tc>
        <w:tc>
          <w:tcPr>
            <w:tcW w:w="140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8D2AA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实现方式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88097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技术方案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B2018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输入输出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5A0B05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异常处置原则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43E28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所需资源</w:t>
            </w:r>
          </w:p>
        </w:tc>
      </w:tr>
      <w:tr w14:paraId="26DD1C9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4F89F1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资料上传登记</w:t>
            </w:r>
          </w:p>
        </w:tc>
        <w:tc>
          <w:tcPr>
            <w:tcW w:w="140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B9E64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上传标准/说明/案例，填写标题、版本、专业、范围和权限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AD14C6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文件上传+元数据表单，写入Document/SourceVersion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6E02D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输入：文件+元数据；输出：待审核Document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28863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缺版本或权限信息不发布，退回补充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288E9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平台开发约2人天</w:t>
            </w:r>
          </w:p>
        </w:tc>
      </w:tr>
      <w:tr w14:paraId="1068D7B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AE93EB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解析与OCR</w:t>
            </w:r>
          </w:p>
        </w:tc>
        <w:tc>
          <w:tcPr>
            <w:tcW w:w="140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D99E2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提取正文、表格、图片OCR和元数据，保留原文件和页码映射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9EF70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RAGFlow解析流水线，OCR离线组件（不依赖公网）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76091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输入：原始文件；输出：解析文本+页码映射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2305B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解析失败保留原文件进入待处理，不阻塞存档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C28CC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RAGFlow团队约2人天</w:t>
            </w:r>
          </w:p>
        </w:tc>
      </w:tr>
      <w:tr w14:paraId="57A63CC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DDC06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审核与分类</w:t>
            </w:r>
          </w:p>
        </w:tc>
        <w:tc>
          <w:tcPr>
            <w:tcW w:w="140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40ABC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专业人员确认类别、标签和有效性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52E01C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人工审批工作流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8849E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输入：解析后文档；输出：审核记录+分类标签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EDEBD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未审核资料不进入权威知识范围，不可被引用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87498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业务团队人力（按资料量持续投入）</w:t>
            </w:r>
          </w:p>
        </w:tc>
      </w:tr>
      <w:tr w14:paraId="3CF0616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EDB4A8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索引与检索</w:t>
            </w:r>
          </w:p>
        </w:tc>
        <w:tc>
          <w:tcPr>
            <w:tcW w:w="140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8793D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分块、向量化、权限映射后发布；检索先权限过滤再检索并返回来源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3DDE2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RAGFlo</w:t>
            </w:r>
            <w:bookmarkStart w:id="80" w:name="_GoBack"/>
            <w:bookmarkEnd w:id="80"/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w向量库+ACL过滤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DEDC7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输入：审核通过文档；输出：chunk+索引；检索输出答案+来源引用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F8C55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索引失败不影响原文件存档；无依据不生成肯定结论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5285D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RAGFlow+平台约3人天</w:t>
            </w:r>
          </w:p>
        </w:tc>
      </w:tr>
      <w:tr w14:paraId="111D4FD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591227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内网采集配置与执行</w:t>
            </w:r>
          </w:p>
        </w:tc>
        <w:tc>
          <w:tcPr>
            <w:tcW w:w="140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F10D2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管理员配置白名单站点和筛选条件，智能体抓取/去重/解析/索引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98CB1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采集流水线（发现→过滤→抓取→哈希去重→解析→索引），限制访问地址和解压深度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03F6B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输入：白名单+筛选条件+账号会话；输出：发现/成功/重复/失败统计+Document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CC961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白名单外地址不可访问；失败项单独重试，不影响已成功文档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212EA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平台开发+安全评审约4人天</w:t>
            </w:r>
          </w:p>
        </w:tc>
      </w:tr>
      <w:tr w14:paraId="735F526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091A7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知识版本管理</w:t>
            </w:r>
          </w:p>
        </w:tc>
        <w:tc>
          <w:tcPr>
            <w:tcW w:w="140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418AE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资料更新形成新SourceVersion，保留来源和历史版本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129996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版本号+哈希对比触发增量更新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D13FA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输入：更新文件；输出：新版本，旧版本可查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E659B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更新失败不影响线上已发布版本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33A83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平台开发约1人天</w:t>
            </w:r>
          </w:p>
        </w:tc>
      </w:tr>
    </w:tbl>
    <w:p w14:paraId="28930CE0">
      <w:pPr>
        <w:pStyle w:val="80"/>
        <w:keepNext/>
        <w:keepLines/>
        <w:rPr>
          <w:b w:val="0"/>
          <w:bCs w:val="0"/>
        </w:rPr>
      </w:pPr>
      <w:bookmarkStart w:id="70" w:name="_Toc30081"/>
      <w:r>
        <w:rPr>
          <w:b w:val="0"/>
          <w:bCs w:val="0"/>
        </w:rPr>
        <w:t>报告与综合研判实施方案</w:t>
      </w:r>
      <w:bookmarkEnd w:id="70"/>
    </w:p>
    <w:p w14:paraId="75893FCD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报告生成</w:t>
      </w:r>
    </w:p>
    <w:p w14:paraId="2550C206">
      <w:pPr>
        <w:pStyle w:val="81"/>
        <w:rPr>
          <w:b w:val="0"/>
          <w:bCs w:val="0"/>
        </w:rPr>
      </w:pPr>
      <w:r>
        <w:rPr>
          <w:b w:val="0"/>
          <w:bCs w:val="0"/>
        </w:rPr>
        <w:t>报告服务使用版本化模板和结构化数据生成草稿。固定字段包括业务对象、任务与样本、工具/模型版本、参数、原始结果、人工结论、引用依据、AI建议和签发记录。确定性程序填充结构和数值，大模型只生成解释性文字。</w:t>
      </w:r>
    </w:p>
    <w:p w14:paraId="00FBEAA9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报告生命周期</w:t>
      </w:r>
    </w:p>
    <w:tbl>
      <w:tblPr>
        <w:tblStyle w:val="27"/>
        <w:tblW w:w="8307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3758"/>
        <w:gridCol w:w="2769"/>
      </w:tblGrid>
      <w:tr w14:paraId="2201B4D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8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0D23B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状态</w:t>
            </w:r>
          </w:p>
        </w:tc>
        <w:tc>
          <w:tcPr>
            <w:tcW w:w="375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6518D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允许操作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95C31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版本规则</w:t>
            </w:r>
          </w:p>
        </w:tc>
      </w:tr>
      <w:tr w14:paraId="6B20B11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8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CCAC4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DRAFT</w:t>
            </w:r>
          </w:p>
        </w:tc>
        <w:tc>
          <w:tcPr>
            <w:tcW w:w="375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83277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生成、编辑解释、补充资料、提交复核。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5D8ED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标明草稿，不作为批准结论。</w:t>
            </w:r>
          </w:p>
        </w:tc>
      </w:tr>
      <w:tr w14:paraId="25A0ADE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8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9F92B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IN_REVIEW</w:t>
            </w:r>
          </w:p>
        </w:tc>
        <w:tc>
          <w:tcPr>
            <w:tcW w:w="375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9BF68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复核、退回、批准。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1299F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提交版本只读，退回产生新修订。</w:t>
            </w:r>
          </w:p>
        </w:tc>
      </w:tr>
      <w:tr w14:paraId="00515B2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8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B4A3E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APPROVED</w:t>
            </w:r>
          </w:p>
        </w:tc>
        <w:tc>
          <w:tcPr>
            <w:tcW w:w="375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9FC3C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下载DOCX/PDF、归档、引用。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7581F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形成不可变快照并固定模板和数据版本。</w:t>
            </w:r>
          </w:p>
        </w:tc>
      </w:tr>
      <w:tr w14:paraId="716A81B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8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6AA5D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SUPERSEDED</w:t>
            </w:r>
          </w:p>
        </w:tc>
        <w:tc>
          <w:tcPr>
            <w:tcW w:w="375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504F1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查看历史和审计。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123EF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新批准版本关联旧版，不删除历史。</w:t>
            </w:r>
          </w:p>
        </w:tc>
      </w:tr>
    </w:tbl>
    <w:p w14:paraId="16CB73C4">
      <w:pPr>
        <w:pStyle w:val="81"/>
        <w:spacing w:after="0"/>
        <w:rPr>
          <w:b w:val="0"/>
          <w:bCs w:val="0"/>
        </w:rPr>
      </w:pPr>
    </w:p>
    <w:p w14:paraId="2BB3237C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跨任务综合研判</w:t>
      </w:r>
    </w:p>
    <w:p w14:paraId="60BA38F7">
      <w:pPr>
        <w:pStyle w:val="81"/>
        <w:rPr>
          <w:b w:val="0"/>
          <w:bCs w:val="0"/>
        </w:rPr>
      </w:pPr>
      <w:r>
        <w:rPr>
          <w:b w:val="0"/>
          <w:bCs w:val="0"/>
        </w:rPr>
        <w:t>平台按business_ref聚合同一零件或批次的多个独立任务，用户选择纳入的复核版本。综合页面保持每个专业结论的出处，不对不同专业置信度做无依据相加，也不自动生成综合质量分。资料缺失、任务未完成或结论冲突时显式列出。</w:t>
      </w:r>
    </w:p>
    <w:p w14:paraId="6EE1C43E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输入</w:t>
      </w:r>
      <w:r>
        <w:rPr>
          <w:rFonts w:hint="eastAsia"/>
          <w:b w:val="0"/>
          <w:bCs w:val="0"/>
          <w:lang w:eastAsia="zh-CN"/>
        </w:rPr>
        <w:t>、</w:t>
      </w:r>
      <w:r>
        <w:rPr>
          <w:b w:val="0"/>
          <w:bCs w:val="0"/>
        </w:rPr>
        <w:t>输出</w:t>
      </w:r>
      <w:r>
        <w:rPr>
          <w:rFonts w:hint="eastAsia"/>
          <w:b w:val="0"/>
          <w:bCs w:val="0"/>
          <w:lang w:eastAsia="zh-CN"/>
        </w:rPr>
        <w:t>、</w:t>
      </w:r>
      <w:r>
        <w:rPr>
          <w:b w:val="0"/>
          <w:bCs w:val="0"/>
        </w:rPr>
        <w:t>异常与验收</w:t>
      </w:r>
    </w:p>
    <w:p w14:paraId="28265DAC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报告模块实施卡</w:t>
      </w:r>
    </w:p>
    <w:tbl>
      <w:tblPr>
        <w:tblStyle w:val="27"/>
        <w:tblW w:w="8306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6501"/>
      </w:tblGrid>
      <w:tr w14:paraId="65E868D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311E95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项目</w:t>
            </w:r>
          </w:p>
        </w:tc>
        <w:tc>
          <w:tcPr>
            <w:tcW w:w="650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31A51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要求</w:t>
            </w:r>
          </w:p>
        </w:tc>
      </w:tr>
      <w:tr w14:paraId="1081257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8A1323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</w:t>
            </w:r>
          </w:p>
        </w:tc>
        <w:tc>
          <w:tcPr>
            <w:tcW w:w="650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C0536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授权任务、复核版本、业务对象、知识引用、模板版本。</w:t>
            </w:r>
          </w:p>
        </w:tc>
      </w:tr>
      <w:tr w14:paraId="5CBDD69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03D62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输出</w:t>
            </w:r>
          </w:p>
        </w:tc>
        <w:tc>
          <w:tcPr>
            <w:tcW w:w="650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F1295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ReportVersion、DOCX/PDF、引用清单、审批记录。</w:t>
            </w:r>
          </w:p>
        </w:tc>
      </w:tr>
      <w:tr w14:paraId="1FCC8CF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AB699B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异常</w:t>
            </w:r>
          </w:p>
        </w:tc>
        <w:tc>
          <w:tcPr>
            <w:tcW w:w="650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91F5D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报告失败不改变检测状态；引用失效时阻止批准并提示；模板变更不影响历史报告。</w:t>
            </w:r>
          </w:p>
        </w:tc>
      </w:tr>
      <w:tr w14:paraId="190D89E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FE887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验收</w:t>
            </w:r>
          </w:p>
        </w:tc>
        <w:tc>
          <w:tcPr>
            <w:tcW w:w="650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6DFCE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草稿标识、版本冻结、权限下载、跨任务来源追溯、重生成不覆盖历史。</w:t>
            </w:r>
          </w:p>
        </w:tc>
      </w:tr>
    </w:tbl>
    <w:p w14:paraId="298AE83D">
      <w:pPr>
        <w:pStyle w:val="81"/>
        <w:spacing w:after="0"/>
        <w:rPr>
          <w:b w:val="0"/>
          <w:bCs w:val="0"/>
        </w:rPr>
      </w:pPr>
    </w:p>
    <w:p w14:paraId="1407C51F">
      <w:pPr>
        <w:pStyle w:val="80"/>
        <w:keepNext/>
        <w:keepLines/>
        <w:rPr>
          <w:b w:val="0"/>
          <w:bCs w:val="0"/>
        </w:rPr>
      </w:pPr>
      <w:bookmarkStart w:id="71" w:name="_Toc2983"/>
      <w:r>
        <w:rPr>
          <w:rFonts w:hint="eastAsia"/>
          <w:b w:val="0"/>
          <w:bCs w:val="0"/>
          <w:lang w:val="en-US" w:eastAsia="zh-CN"/>
        </w:rPr>
        <w:t>工具服务</w:t>
      </w:r>
      <w:r>
        <w:rPr>
          <w:b w:val="0"/>
          <w:bCs w:val="0"/>
        </w:rPr>
        <w:t>中心与</w:t>
      </w:r>
      <w:r>
        <w:rPr>
          <w:rFonts w:hint="eastAsia"/>
          <w:b w:val="0"/>
          <w:bCs w:val="0"/>
          <w:lang w:val="en-US" w:eastAsia="zh-CN"/>
        </w:rPr>
        <w:t>后台管理</w:t>
      </w:r>
      <w:r>
        <w:rPr>
          <w:b w:val="0"/>
          <w:bCs w:val="0"/>
        </w:rPr>
        <w:t>实施方案</w:t>
      </w:r>
      <w:bookmarkEnd w:id="71"/>
    </w:p>
    <w:p w14:paraId="57CA4099">
      <w:pPr>
        <w:pStyle w:val="86"/>
        <w:keepNext/>
        <w:keepLines/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工具服务</w:t>
      </w:r>
      <w:r>
        <w:rPr>
          <w:b w:val="0"/>
          <w:bCs w:val="0"/>
        </w:rPr>
        <w:t>中心</w:t>
      </w:r>
    </w:p>
    <w:p w14:paraId="691D3544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工具服务中心对象</w:t>
      </w:r>
    </w:p>
    <w:tbl>
      <w:tblPr>
        <w:tblStyle w:val="27"/>
        <w:tblW w:w="8304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1"/>
        <w:gridCol w:w="2361"/>
        <w:gridCol w:w="2076"/>
        <w:gridCol w:w="2076"/>
      </w:tblGrid>
      <w:tr w14:paraId="16DA12C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9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5FAFA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对象</w:t>
            </w:r>
          </w:p>
        </w:tc>
        <w:tc>
          <w:tcPr>
            <w:tcW w:w="23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BDC568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管理内容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8EAB5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操作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B0BB4C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审计要求</w:t>
            </w:r>
          </w:p>
        </w:tc>
      </w:tr>
      <w:tr w14:paraId="5B54384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9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9F9F5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Tool</w:t>
            </w:r>
          </w:p>
        </w:tc>
        <w:tc>
          <w:tcPr>
            <w:tcW w:w="23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9B738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tool_id、负责人、专业、状态、地址引用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D74E4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新增、停用、健康检查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AFF07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记录变更人、原因和前后值。</w:t>
            </w:r>
          </w:p>
        </w:tc>
      </w:tr>
      <w:tr w14:paraId="1607026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9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53C1F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ToolVersion</w:t>
            </w:r>
          </w:p>
        </w:tc>
        <w:tc>
          <w:tcPr>
            <w:tcW w:w="23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AC0A2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API版本、参数/结果Schema、依赖、运行包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310A4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登记、验证、启用、退役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8BDA1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已被任务引用的版本不可覆盖。</w:t>
            </w:r>
          </w:p>
        </w:tc>
      </w:tr>
      <w:tr w14:paraId="7AD8AAF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9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59739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ModelVersion</w:t>
            </w:r>
          </w:p>
        </w:tc>
        <w:tc>
          <w:tcPr>
            <w:tcW w:w="23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08981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模型哈希、数据集、评估、适用范围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DD957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候选、验证、发布、回滚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DB4B5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发布和回滚记录完整。</w:t>
            </w:r>
          </w:p>
        </w:tc>
      </w:tr>
      <w:tr w14:paraId="5AE2FE4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9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3323B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Skill</w:t>
            </w:r>
          </w:p>
        </w:tc>
        <w:tc>
          <w:tcPr>
            <w:tcW w:w="23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D3C32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输入/输出Schema、权限、副作用、资源限制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C3714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注册、试运行、启停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7A38C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执行地址只能来自注册表。</w:t>
            </w:r>
          </w:p>
        </w:tc>
      </w:tr>
      <w:tr w14:paraId="432C64C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9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9E801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Template</w:t>
            </w:r>
          </w:p>
        </w:tc>
        <w:tc>
          <w:tcPr>
            <w:tcW w:w="23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18D69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报告/参数/标签模板及版本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10946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创建、验证、发布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EE439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历史任务保留原版本引用。</w:t>
            </w:r>
          </w:p>
        </w:tc>
      </w:tr>
    </w:tbl>
    <w:p w14:paraId="2BA7761A">
      <w:pPr>
        <w:pStyle w:val="81"/>
        <w:spacing w:after="0"/>
        <w:rPr>
          <w:b w:val="0"/>
          <w:bCs w:val="0"/>
        </w:rPr>
      </w:pPr>
    </w:p>
    <w:p w14:paraId="3CA208A1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管理后台</w:t>
      </w:r>
    </w:p>
    <w:p w14:paraId="4B14C528">
      <w:pPr>
        <w:pStyle w:val="113"/>
        <w:numPr>
          <w:ilvl w:val="0"/>
          <w:numId w:val="22"/>
        </w:numPr>
        <w:rPr>
          <w:b w:val="0"/>
          <w:bCs w:val="0"/>
        </w:rPr>
      </w:pPr>
      <w:r>
        <w:rPr>
          <w:b w:val="0"/>
          <w:bCs w:val="0"/>
        </w:rPr>
        <w:t>用户、角色、权限、数据范围和有效期管理；账号可绑定多角色，服务端逐次鉴权。</w:t>
      </w:r>
    </w:p>
    <w:p w14:paraId="16E58B5E">
      <w:pPr>
        <w:pStyle w:val="113"/>
        <w:numPr>
          <w:ilvl w:val="0"/>
          <w:numId w:val="22"/>
        </w:numPr>
        <w:rPr>
          <w:b w:val="0"/>
          <w:bCs w:val="0"/>
        </w:rPr>
      </w:pPr>
      <w:r>
        <w:rPr>
          <w:b w:val="0"/>
          <w:bCs w:val="0"/>
        </w:rPr>
        <w:t>项目、组织、专业和工具范围配置；权限撤回立即影响后续读取。</w:t>
      </w:r>
    </w:p>
    <w:p w14:paraId="2CE197E0">
      <w:pPr>
        <w:pStyle w:val="113"/>
        <w:numPr>
          <w:ilvl w:val="0"/>
          <w:numId w:val="22"/>
        </w:numPr>
        <w:rPr>
          <w:b w:val="0"/>
          <w:bCs w:val="0"/>
        </w:rPr>
      </w:pPr>
      <w:r>
        <w:rPr>
          <w:b w:val="0"/>
          <w:bCs w:val="0"/>
        </w:rPr>
        <w:t>工具地址、端口、凭证引用、超时、并发、保留期和告警阈值配置；凭证不可明文回显。</w:t>
      </w:r>
    </w:p>
    <w:p w14:paraId="3D18F71F">
      <w:pPr>
        <w:pStyle w:val="113"/>
        <w:numPr>
          <w:ilvl w:val="0"/>
          <w:numId w:val="22"/>
        </w:numPr>
        <w:rPr>
          <w:b w:val="0"/>
          <w:bCs w:val="0"/>
        </w:rPr>
      </w:pPr>
      <w:r>
        <w:rPr>
          <w:b w:val="0"/>
          <w:bCs w:val="0"/>
        </w:rPr>
        <w:t>任务、资产、报告、知识、模型和配置变更审计查询与导出。</w:t>
      </w:r>
    </w:p>
    <w:p w14:paraId="1754B48E">
      <w:pPr>
        <w:pStyle w:val="113"/>
        <w:numPr>
          <w:ilvl w:val="0"/>
          <w:numId w:val="22"/>
        </w:numPr>
        <w:rPr>
          <w:b w:val="0"/>
          <w:bCs w:val="0"/>
        </w:rPr>
      </w:pPr>
      <w:r>
        <w:rPr>
          <w:b w:val="0"/>
          <w:bCs w:val="0"/>
        </w:rPr>
        <w:t>运行状态、队列、存储、工具健康和失败任务处置。</w:t>
      </w:r>
    </w:p>
    <w:p w14:paraId="4CB61C85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功能点实施卡</w:t>
      </w:r>
    </w:p>
    <w:p w14:paraId="36587CFE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工具服务中心与后台管理模块功能点实施卡</w:t>
      </w:r>
    </w:p>
    <w:tbl>
      <w:tblPr>
        <w:tblStyle w:val="27"/>
        <w:tblW w:w="8304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133CE40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BEED6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功能点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9A0B4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实现方式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04B7D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技术方案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2CCAC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输入输出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1D10D5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异常处置原则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1898D3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所需资源</w:t>
            </w:r>
          </w:p>
        </w:tc>
      </w:tr>
      <w:tr w14:paraId="58DB23A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699B3B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工具注册与健康检查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987DA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新增/停用工具，定期或按需健康检查，记录变更人/原因/前后值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7CEF8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健康检查轮询（调用GET /health）+审计日志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92739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输入：tool_id+负责人+专业+地址；输出：状态记录+审计条目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9EEC3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健康检查失败的工具自动禁止被路由，人工确认恢复后解禁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10A64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平台开发约3人天</w:t>
            </w:r>
          </w:p>
        </w:tc>
      </w:tr>
      <w:tr w14:paraId="6D4C960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5B640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工具版本登记与验证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BC1D7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登记API版本、Schema、依赖和运行包；已被任务引用的版本不可覆盖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8AC82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版本台账表+Schema版本号管理（字段删除/单位变化升主版本）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AC105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输入：ToolVersion信息；输出：版本记录（启用/退役）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C292F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未登记Schema版本的工具拒绝联调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41BD4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平台+工具团队约2人天</w:t>
            </w:r>
          </w:p>
        </w:tc>
      </w:tr>
      <w:tr w14:paraId="1D97222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82D4BE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Skill注册与试运行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21A64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注册输入输出Schema、权限和资源限制，试运行验证后再启用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DF3FDE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执行地址只能来自注册表，禁止硬编码调用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DA7AB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输入：Skill定义；输出：注册记录+试运行结果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45020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试运行失败不允许启用，需修正后重新验证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F757D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平台开发约2人天</w:t>
            </w:r>
          </w:p>
        </w:tc>
      </w:tr>
      <w:tr w14:paraId="10CC9DD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9B741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模板管理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61DE4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报告/参数/标签模板的创建、验证、发布；历史任务保留原版本引用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F5360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模板版本化存储（不可变快照）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31E17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输入：模板内容+版本；输出：Template记录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29C21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发布前须验证格式，验证失败不可发布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E7551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平台开发约2人天</w:t>
            </w:r>
          </w:p>
        </w:tc>
      </w:tr>
      <w:tr w14:paraId="69AE2BE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04A6C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用户角色权限管理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2A213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账号可绑定多角色，服务端逐次鉴权，不缓存滞后的权限判断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C4CED8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RBAC点分权限编码+数据范围叠加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9968A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输入：用户+角色+范围配置；输出：权限矩阵生效记录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BF6F6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权限撤回立即影响后续读取，不等会话过期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769E2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平台开发约3人天</w:t>
            </w:r>
          </w:p>
        </w:tc>
      </w:tr>
      <w:tr w14:paraId="7DBEA1D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FFD196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工具接入与审计配置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13F67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配置工具地址、端口、凭证引用、超时并发和告警阈值；凭证不可明文回显；支持审计查询与运行监控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CED0C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密钥管理（加密存储+轮换）；审计日志表+监控看板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7C882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输入：工具连接参数+查询条件；输出：生效配置（脱敏）+审计记录+监控看板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3171C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配置错误触发告警不静默失败；审计记录只写不可编辑或删除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90B81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平台+安全评审约4人天</w:t>
            </w:r>
          </w:p>
        </w:tc>
      </w:tr>
    </w:tbl>
    <w:p w14:paraId="7CFB2651">
      <w:pPr>
        <w:pStyle w:val="80"/>
        <w:keepNext/>
        <w:keepLines/>
        <w:rPr>
          <w:b w:val="0"/>
          <w:bCs w:val="0"/>
        </w:rPr>
      </w:pPr>
      <w:bookmarkStart w:id="72" w:name="_Toc25730"/>
      <w:r>
        <w:rPr>
          <w:b w:val="0"/>
          <w:bCs w:val="0"/>
        </w:rPr>
        <w:t>数据与接口方案</w:t>
      </w:r>
      <w:bookmarkEnd w:id="72"/>
    </w:p>
    <w:p w14:paraId="220970FF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核心数据对象</w:t>
      </w:r>
    </w:p>
    <w:p w14:paraId="68E4FB82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核心实体与关系</w:t>
      </w:r>
    </w:p>
    <w:tbl>
      <w:tblPr>
        <w:tblStyle w:val="27"/>
        <w:tblW w:w="8307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7"/>
        <w:gridCol w:w="3771"/>
        <w:gridCol w:w="2769"/>
      </w:tblGrid>
      <w:tr w14:paraId="06AEB3E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6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097FE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实体</w:t>
            </w:r>
          </w:p>
        </w:tc>
        <w:tc>
          <w:tcPr>
            <w:tcW w:w="377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7D1C3C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关键字段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BA0EB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主要关系</w:t>
            </w:r>
          </w:p>
        </w:tc>
      </w:tr>
      <w:tr w14:paraId="66F84AC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6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5AD61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Asset</w:t>
            </w:r>
          </w:p>
        </w:tc>
        <w:tc>
          <w:tcPr>
            <w:tcW w:w="377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4295F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asset_id、hash、type、object_key、project_id、owner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9B9F0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被TaskItem、Document、Dataset、Report引用。</w:t>
            </w:r>
          </w:p>
        </w:tc>
      </w:tr>
      <w:tr w14:paraId="538D826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6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3A8AC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Task/TaskItem</w:t>
            </w:r>
          </w:p>
        </w:tc>
        <w:tc>
          <w:tcPr>
            <w:tcW w:w="377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B54C1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type、state、tool/model version、parameters、retry_of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08C4E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关联输入Asset、Result、Event和Review。</w:t>
            </w:r>
          </w:p>
        </w:tc>
      </w:tr>
      <w:tr w14:paraId="5FE79B4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6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FC0B5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Result</w:t>
            </w:r>
          </w:p>
        </w:tc>
        <w:tc>
          <w:tcPr>
            <w:tcW w:w="377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0D1E7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schema_version、raw_result、findings、measurements、artifacts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2842E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一对多Revision；不覆盖原始输出。</w:t>
            </w:r>
          </w:p>
        </w:tc>
      </w:tr>
      <w:tr w14:paraId="6AC434A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6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AA771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Tool/ToolVersion</w:t>
            </w:r>
          </w:p>
        </w:tc>
        <w:tc>
          <w:tcPr>
            <w:tcW w:w="377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D6A7E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tool_id、版本、Schema、健康、负责人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FEA2C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被Task固定引用；关联ModelVersion。</w:t>
            </w:r>
          </w:p>
        </w:tc>
      </w:tr>
      <w:tr w14:paraId="269FE82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6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96BCB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DatasetVersion</w:t>
            </w:r>
          </w:p>
        </w:tc>
        <w:tc>
          <w:tcPr>
            <w:tcW w:w="377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6E7C4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样本、标注修订、split、group_key、hash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D9979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训练任务输入；冻结后不可变。</w:t>
            </w:r>
          </w:p>
        </w:tc>
      </w:tr>
      <w:tr w14:paraId="36E6CD3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6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496AF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ModelVersion</w:t>
            </w:r>
          </w:p>
        </w:tc>
        <w:tc>
          <w:tcPr>
            <w:tcW w:w="377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71035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hash、training、evaluation、state、environment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2F15F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每工具每环境一个默认ACTIVE。</w:t>
            </w:r>
          </w:p>
        </w:tc>
      </w:tr>
      <w:tr w14:paraId="5886D6F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6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F1537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Document/SourceVersion</w:t>
            </w:r>
          </w:p>
        </w:tc>
        <w:tc>
          <w:tcPr>
            <w:tcW w:w="377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50EEE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来源、版本、ACL、解析状态、索引状态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A3171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关联知识分块与引用。</w:t>
            </w:r>
          </w:p>
        </w:tc>
      </w:tr>
      <w:tr w14:paraId="67993DF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6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7128B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ReportVersion</w:t>
            </w:r>
          </w:p>
        </w:tc>
        <w:tc>
          <w:tcPr>
            <w:tcW w:w="377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B20CB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模板、任务/复核引用、状态、artifact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E076A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批准版本不可变。</w:t>
            </w:r>
          </w:p>
        </w:tc>
      </w:tr>
    </w:tbl>
    <w:p w14:paraId="0F25772F">
      <w:pPr>
        <w:pStyle w:val="81"/>
        <w:spacing w:after="0"/>
        <w:rPr>
          <w:b w:val="0"/>
          <w:bCs w:val="0"/>
        </w:rPr>
      </w:pPr>
    </w:p>
    <w:p w14:paraId="081787F7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平台接口分组</w:t>
      </w:r>
    </w:p>
    <w:p w14:paraId="1F6E1F7C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平台主要API</w:t>
      </w:r>
    </w:p>
    <w:tbl>
      <w:tblPr>
        <w:tblStyle w:val="27"/>
        <w:tblW w:w="8307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3"/>
        <w:gridCol w:w="3745"/>
        <w:gridCol w:w="2769"/>
      </w:tblGrid>
      <w:tr w14:paraId="601A781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9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F313C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接口组</w:t>
            </w:r>
          </w:p>
        </w:tc>
        <w:tc>
          <w:tcPr>
            <w:tcW w:w="374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E0F5F1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主要能力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94382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关键控制</w:t>
            </w:r>
          </w:p>
        </w:tc>
      </w:tr>
      <w:tr w14:paraId="5DD300B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9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4FBB6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资产</w:t>
            </w:r>
          </w:p>
        </w:tc>
        <w:tc>
          <w:tcPr>
            <w:tcW w:w="374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5F26B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上传、完成、预览、下载、元数据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31B1F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服务端鉴权、哈希校验、短期访问。</w:t>
            </w:r>
          </w:p>
        </w:tc>
      </w:tr>
      <w:tr w14:paraId="2714432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9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38781B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任务</w:t>
            </w:r>
          </w:p>
        </w:tc>
        <w:tc>
          <w:tcPr>
            <w:tcW w:w="374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73DB6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创建、查询、事件、取消、重试、对账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2CC01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Idempotency-Key、版本冻结、状态机。</w:t>
            </w:r>
          </w:p>
        </w:tc>
      </w:tr>
      <w:tr w14:paraId="3917FBC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9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5AFCD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结果与复核</w:t>
            </w:r>
          </w:p>
        </w:tc>
        <w:tc>
          <w:tcPr>
            <w:tcW w:w="374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D2773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结果查询、图层、修订、批准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AE0B6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原始结果只读、revision乐观锁。</w:t>
            </w:r>
          </w:p>
        </w:tc>
      </w:tr>
      <w:tr w14:paraId="7DF32AD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9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075C85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能力与模型</w:t>
            </w:r>
          </w:p>
        </w:tc>
        <w:tc>
          <w:tcPr>
            <w:tcW w:w="374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1E7AE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能力清单、工具版本、模型评估/发布/回滚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272F4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Schema校验、环境锁和审计。</w:t>
            </w:r>
          </w:p>
        </w:tc>
      </w:tr>
      <w:tr w14:paraId="372FC67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9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569B2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知识</w:t>
            </w:r>
          </w:p>
        </w:tc>
        <w:tc>
          <w:tcPr>
            <w:tcW w:w="374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CFDEC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上传、采集、检索、阅读、下载、引用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A97D4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先权限过滤后检索。</w:t>
            </w:r>
          </w:p>
        </w:tc>
      </w:tr>
      <w:tr w14:paraId="6A17C96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9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AD7E41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报告</w:t>
            </w:r>
          </w:p>
        </w:tc>
        <w:tc>
          <w:tcPr>
            <w:tcW w:w="374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F54D9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生成、提交、批准、下载、汇总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603A5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固定数据版本和模板版本。</w:t>
            </w:r>
          </w:p>
        </w:tc>
      </w:tr>
      <w:tr w14:paraId="4429CB9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93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0EF98E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管理</w:t>
            </w:r>
          </w:p>
        </w:tc>
        <w:tc>
          <w:tcPr>
            <w:tcW w:w="374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AD225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RBAC、配置、审计、运行状态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D7E65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敏感配置只写不读。</w:t>
            </w:r>
          </w:p>
        </w:tc>
      </w:tr>
    </w:tbl>
    <w:p w14:paraId="11511F26">
      <w:pPr>
        <w:pStyle w:val="81"/>
        <w:spacing w:after="0"/>
        <w:rPr>
          <w:b w:val="0"/>
          <w:bCs w:val="0"/>
        </w:rPr>
      </w:pPr>
    </w:p>
    <w:p w14:paraId="7D65D32A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专业工具统一接口</w:t>
      </w:r>
    </w:p>
    <w:p w14:paraId="7265ACBE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工具侧统一接口基线</w:t>
      </w:r>
    </w:p>
    <w:tbl>
      <w:tblPr>
        <w:tblStyle w:val="27"/>
        <w:tblW w:w="8304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456DB3B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0CA1F3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接口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3D2A8C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用途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D4D31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必需性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5B3F98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实现要求</w:t>
            </w:r>
          </w:p>
        </w:tc>
      </w:tr>
      <w:tr w14:paraId="1421146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63917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GET /health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E1846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服务、模型和依赖就绪检查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49460C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必需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0098F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未就绪返回503；不暴露秘密配置。</w:t>
            </w:r>
          </w:p>
        </w:tc>
      </w:tr>
      <w:tr w14:paraId="743BBDA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A051F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GET /api/v1/meta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BC62A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版本、格式、Schema、能力声明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38D2DB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必需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73474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返回取消、恢复、版本固定等能力。</w:t>
            </w:r>
          </w:p>
        </w:tc>
      </w:tr>
      <w:tr w14:paraId="69733FE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BBBB4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POST /api/v1/tasks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F1B76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异步受理专业任务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E2DED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必需或由适配器提供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3DD26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返回202、job_id和查询地址，支持幂等。</w:t>
            </w:r>
          </w:p>
        </w:tc>
      </w:tr>
      <w:tr w14:paraId="7E24D9C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11A9D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GET /api/v1/tasks/{job_id}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D56A9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状态和结果查询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13B7E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必需或由适配器提供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880EC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状态单调，返回固定版本和ResultEnvelope。</w:t>
            </w:r>
          </w:p>
        </w:tc>
      </w:tr>
      <w:tr w14:paraId="64416A0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37293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POST /api/v1/tasks/{job_id}/cancel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F49B8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请求取消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6CCE87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按能力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BDEBA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不支持时明确声明，不伪造成功。</w:t>
            </w:r>
          </w:p>
        </w:tc>
      </w:tr>
      <w:tr w14:paraId="218F2A9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62734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POST /api/v1/models/load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D00B8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装载指定模型版本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EE97CC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模型发布时必需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3E152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装载后执行健康和固定样例检查。</w:t>
            </w:r>
          </w:p>
        </w:tc>
      </w:tr>
    </w:tbl>
    <w:p w14:paraId="1D86B4F6">
      <w:pPr>
        <w:pStyle w:val="81"/>
        <w:spacing w:after="0"/>
        <w:rPr>
          <w:b w:val="0"/>
          <w:bCs w:val="0"/>
        </w:rPr>
      </w:pPr>
    </w:p>
    <w:p w14:paraId="66E2026E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结果与可靠性契约</w:t>
      </w:r>
    </w:p>
    <w:p w14:paraId="2055AE64">
      <w:pPr>
        <w:pStyle w:val="113"/>
        <w:numPr>
          <w:ilvl w:val="0"/>
          <w:numId w:val="23"/>
        </w:numPr>
        <w:rPr>
          <w:b w:val="0"/>
          <w:bCs w:val="0"/>
        </w:rPr>
      </w:pPr>
      <w:r>
        <w:rPr>
          <w:b w:val="0"/>
          <w:bCs w:val="0"/>
        </w:rPr>
        <w:t>ResultEnvelope必须含task_id、tool_id、tool_version、model_version、result_schema_version、items和warnings。</w:t>
      </w:r>
    </w:p>
    <w:p w14:paraId="038D7ABA">
      <w:pPr>
        <w:pStyle w:val="113"/>
        <w:numPr>
          <w:ilvl w:val="0"/>
          <w:numId w:val="23"/>
        </w:numPr>
        <w:rPr>
          <w:b w:val="0"/>
          <w:bCs w:val="0"/>
        </w:rPr>
      </w:pPr>
      <w:r>
        <w:rPr>
          <w:b w:val="0"/>
          <w:bCs w:val="0"/>
        </w:rPr>
        <w:t>每个item含item_id、state、input_asset_ids、result_type、findings、measurements、artifact_ids和error。</w:t>
      </w:r>
    </w:p>
    <w:p w14:paraId="20208648">
      <w:pPr>
        <w:pStyle w:val="113"/>
        <w:numPr>
          <w:ilvl w:val="0"/>
          <w:numId w:val="23"/>
        </w:numPr>
        <w:rPr>
          <w:b w:val="0"/>
          <w:bCs w:val="0"/>
        </w:rPr>
      </w:pPr>
      <w:r>
        <w:rPr>
          <w:b w:val="0"/>
          <w:bCs w:val="0"/>
        </w:rPr>
        <w:t>创建任务要求Idempotency-Key；相同键同参数返回原任务，相同键不同参数返回409。</w:t>
      </w:r>
    </w:p>
    <w:p w14:paraId="73F2E74E">
      <w:pPr>
        <w:pStyle w:val="113"/>
        <w:numPr>
          <w:ilvl w:val="0"/>
          <w:numId w:val="23"/>
        </w:numPr>
        <w:rPr>
          <w:b w:val="0"/>
          <w:bCs w:val="0"/>
        </w:rPr>
      </w:pPr>
      <w:r>
        <w:rPr>
          <w:b w:val="0"/>
          <w:bCs w:val="0"/>
        </w:rPr>
        <w:t>平台和工具共同保存client_request_id，网络超时后先查询受理事实，避免重复执行。</w:t>
      </w:r>
    </w:p>
    <w:p w14:paraId="62CC5704">
      <w:pPr>
        <w:pStyle w:val="113"/>
        <w:numPr>
          <w:ilvl w:val="0"/>
          <w:numId w:val="23"/>
        </w:numPr>
        <w:rPr>
          <w:b w:val="0"/>
          <w:bCs w:val="0"/>
        </w:rPr>
      </w:pPr>
      <w:r>
        <w:rPr>
          <w:b w:val="0"/>
          <w:bCs w:val="0"/>
        </w:rPr>
        <w:t>字段删除、单位变化或枚举语义变化升级主版本；未登记Schema版本拒绝联调。</w:t>
      </w:r>
    </w:p>
    <w:p w14:paraId="5AECABA4">
      <w:pPr>
        <w:pStyle w:val="80"/>
        <w:keepNext/>
        <w:keepLines/>
        <w:rPr>
          <w:b w:val="0"/>
          <w:bCs w:val="0"/>
        </w:rPr>
      </w:pPr>
      <w:bookmarkStart w:id="73" w:name="_Toc32384"/>
      <w:r>
        <w:rPr>
          <w:b w:val="0"/>
          <w:bCs w:val="0"/>
        </w:rPr>
        <w:t>部署方案与资源需求</w:t>
      </w:r>
      <w:bookmarkEnd w:id="73"/>
    </w:p>
    <w:p w14:paraId="4311D25F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部署架构</w:t>
      </w:r>
    </w:p>
    <w:p w14:paraId="1FB553A0">
      <w:pPr>
        <w:keepNext/>
        <w:jc w:val="center"/>
        <w:rPr>
          <w:rFonts w:hint="eastAsia" w:eastAsia="宋体"/>
          <w:b w:val="0"/>
          <w:bCs w:val="0"/>
          <w:lang w:eastAsia="zh-CN"/>
        </w:rPr>
      </w:pPr>
      <w:r>
        <w:rPr>
          <w:rFonts w:hint="eastAsia" w:eastAsia="宋体"/>
          <w:b w:val="0"/>
          <w:bCs w:val="0"/>
          <w:lang w:eastAsia="zh-CN"/>
        </w:rPr>
        <w:drawing>
          <wp:inline distT="0" distB="0" distL="114300" distR="114300">
            <wp:extent cx="5264785" cy="4424680"/>
            <wp:effectExtent l="0" t="0" r="8255" b="10160"/>
            <wp:docPr id="12" name="图片 12" descr="部署架构图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部署架构图 (1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C7FC">
      <w:pPr>
        <w:pStyle w:val="99"/>
        <w:jc w:val="center"/>
        <w:rPr>
          <w:b w:val="0"/>
          <w:bCs w:val="0"/>
        </w:rPr>
      </w:pPr>
      <w:r>
        <w:rPr>
          <w:b w:val="0"/>
          <w:bCs w:val="0"/>
        </w:rPr>
        <w:t>部署架构图</w:t>
      </w:r>
    </w:p>
    <w:p w14:paraId="02526C49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部署约束</w:t>
      </w:r>
    </w:p>
    <w:p w14:paraId="5D3BB089">
      <w:pPr>
        <w:pStyle w:val="113"/>
        <w:numPr>
          <w:ilvl w:val="0"/>
          <w:numId w:val="24"/>
        </w:numPr>
        <w:rPr>
          <w:b w:val="0"/>
          <w:bCs w:val="0"/>
        </w:rPr>
      </w:pPr>
      <w:r>
        <w:rPr>
          <w:b w:val="0"/>
          <w:bCs w:val="0"/>
        </w:rPr>
        <w:t>目标环境为保密内网物理主机，中科方德NFC Server 4.0海光版，完全离线，不使用Docker。</w:t>
      </w:r>
    </w:p>
    <w:p w14:paraId="11839659">
      <w:pPr>
        <w:pStyle w:val="113"/>
        <w:numPr>
          <w:ilvl w:val="0"/>
          <w:numId w:val="24"/>
        </w:numPr>
        <w:rPr>
          <w:b w:val="0"/>
          <w:bCs w:val="0"/>
        </w:rPr>
      </w:pPr>
      <w:r>
        <w:rPr>
          <w:b w:val="0"/>
          <w:bCs w:val="0"/>
        </w:rPr>
        <w:t>平台、智能服务、专业算法和数据存储按逻辑区隔；专业工具一工具一目录、一虚拟环境、一端口、一进程和一账号。</w:t>
      </w:r>
    </w:p>
    <w:p w14:paraId="12CCF10F">
      <w:pPr>
        <w:pStyle w:val="113"/>
        <w:numPr>
          <w:ilvl w:val="0"/>
          <w:numId w:val="24"/>
        </w:numPr>
        <w:rPr>
          <w:b w:val="0"/>
          <w:bCs w:val="0"/>
        </w:rPr>
      </w:pPr>
      <w:r>
        <w:rPr>
          <w:b w:val="0"/>
          <w:bCs w:val="0"/>
        </w:rPr>
        <w:t>Python 3.11作为服务器目标基线；若个别工具不能兼容，须形成偏离评审和隔离方案。</w:t>
      </w:r>
    </w:p>
    <w:p w14:paraId="2A2D3509">
      <w:pPr>
        <w:pStyle w:val="113"/>
        <w:numPr>
          <w:ilvl w:val="0"/>
          <w:numId w:val="24"/>
        </w:numPr>
        <w:rPr>
          <w:b w:val="0"/>
          <w:bCs w:val="0"/>
        </w:rPr>
      </w:pPr>
      <w:r>
        <w:rPr>
          <w:b w:val="0"/>
          <w:bCs w:val="0"/>
        </w:rPr>
        <w:t>检测运行时以CPU为基线；训练资源与检测资源隔离，训练所需GPU由专项资源确认。</w:t>
      </w:r>
    </w:p>
    <w:p w14:paraId="4341E51B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资源建议初值</w:t>
      </w:r>
    </w:p>
    <w:p w14:paraId="1CF1EBC7">
      <w:pPr>
        <w:pStyle w:val="81"/>
        <w:rPr>
          <w:b w:val="0"/>
          <w:bCs w:val="0"/>
        </w:rPr>
      </w:pPr>
      <w:r>
        <w:rPr>
          <w:b w:val="0"/>
          <w:bCs w:val="0"/>
        </w:rPr>
        <w:t>以下为启动建设和容量验证的规划初值，不是最终采购指标。G0应在目标环境用六项样例和约定并发完成实测，随后冻结CPU、内存、磁盘、端口和并发配置。</w:t>
      </w:r>
    </w:p>
    <w:p w14:paraId="07A81E18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部署资源需求表</w:t>
      </w:r>
    </w:p>
    <w:tbl>
      <w:tblPr>
        <w:tblStyle w:val="27"/>
        <w:tblW w:w="8305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C79D37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A2F58E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部署单元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0CABD7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建议初值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CC2641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软件/服务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86F3F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到位节点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B03F93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责任方</w:t>
            </w:r>
          </w:p>
        </w:tc>
      </w:tr>
      <w:tr w14:paraId="50D5108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41F75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平台应用主机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B9241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16核CPU、64GB内存、系统盘500GB；端口按内网规划。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0334D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前端、平台API、任务执行器、运行管理。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D82A9B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G1开始前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6C4B2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建设方/运维</w:t>
            </w:r>
          </w:p>
        </w:tc>
      </w:tr>
      <w:tr w14:paraId="610F1F6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1E69F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专业算法主机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CAAE5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48至64核CPU、256GB内存、系统及环境盘1TB；GPU默认不纳入推理基线。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E379F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六项工具独立环境；单实例并发初始为1。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968EAC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G0兼容验证前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BDA52B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建设方/工具团队</w:t>
            </w:r>
          </w:p>
        </w:tc>
      </w:tr>
      <w:tr w14:paraId="7A9B7D7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AEC065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训练资源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3F965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按工具训练需求单独确认；不得与检测队列争抢。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4419B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训练/评估服务、模型产物。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0C8907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G3前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B4FF5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建设方/算法团队</w:t>
            </w:r>
          </w:p>
        </w:tc>
      </w:tr>
      <w:tr w14:paraId="38F7D5C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4299F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达梦DSC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9DD21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复用现有集群，新增库/Schema、账号、备份和容量。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B41E5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业务数据、权限、状态、版本、审计。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5E66A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G1前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738843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数据库运维</w:t>
            </w:r>
          </w:p>
        </w:tc>
      </w:tr>
      <w:tr w14:paraId="101D346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A1BDC8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Ceph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29563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复用现有对象存储，规划bucket、配额、生命周期和备份。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908A1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图像、模型、标注、文档、报告。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40D117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G1前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59910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存储运维</w:t>
            </w:r>
          </w:p>
        </w:tc>
      </w:tr>
      <w:tr w14:paraId="04EFC63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B6C2F8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智能服务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D1382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复用Dify、基础大模型、RAGFlow，新增LangGraph编排，确认并发和接口。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72FBA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编排、语言推理、知识检索。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BEF965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G1前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94AC0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AI平台团队</w:t>
            </w:r>
          </w:p>
        </w:tc>
      </w:tr>
      <w:tr w14:paraId="5759B1B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FA4D1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访问入口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6B075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复用Higress，配置域名/证书/路由/限流。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3D327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统一入口和访问治理。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68FD01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G2联调前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7B76A6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网络/平台团队</w:t>
            </w:r>
          </w:p>
        </w:tc>
      </w:tr>
    </w:tbl>
    <w:p w14:paraId="347C0AE1">
      <w:pPr>
        <w:pStyle w:val="81"/>
        <w:spacing w:after="0"/>
        <w:rPr>
          <w:b w:val="0"/>
          <w:bCs w:val="0"/>
        </w:rPr>
      </w:pPr>
    </w:p>
    <w:p w14:paraId="6FA454AE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端口与运行账号规划</w:t>
      </w:r>
    </w:p>
    <w:p w14:paraId="3356DE15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端口规划建议</w:t>
      </w:r>
    </w:p>
    <w:tbl>
      <w:tblPr>
        <w:tblStyle w:val="27"/>
        <w:tblW w:w="8305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8183D5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358F3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服务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B769F1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建议端口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0AC78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运行账号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3A6F71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访问范围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38DCFB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备注</w:t>
            </w:r>
          </w:p>
        </w:tc>
      </w:tr>
      <w:tr w14:paraId="7A04174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735EF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Higress入口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387E7E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443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117A06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既有账号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A5C93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用户区到平台区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90C9E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最终由网络规划确认。</w:t>
            </w:r>
          </w:p>
        </w:tc>
      </w:tr>
      <w:tr w14:paraId="116FC30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2DE733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平台业务API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AEFDB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szCs w:val="20"/>
                <w:lang w:val="en-US" w:eastAsia="zh-CN"/>
              </w:rPr>
              <w:t>1</w:t>
            </w: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8080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919687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imgagent_app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A31D8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仅Higress和内部服务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F9D1F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不直接暴露工具地址。</w:t>
            </w:r>
          </w:p>
        </w:tc>
      </w:tr>
      <w:tr w14:paraId="018A3C6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D21BDC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任务执行器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7AC76B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无外部端口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1526B3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imgagent_worker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FB232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平台内网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40707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通过数据库/队列领取任务。</w:t>
            </w:r>
          </w:p>
        </w:tc>
      </w:tr>
      <w:tr w14:paraId="5D72340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E95CFE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荧光/孔探/热部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E7141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18001/18002/18003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A2774E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tool_fi/tool_bore/tool_hot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9C226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仅平台执行器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75B41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端口为建议，G0登记。</w:t>
            </w:r>
          </w:p>
        </w:tc>
      </w:tr>
      <w:tr w14:paraId="4B87FBF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C4406B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X射线/断口/金相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139BE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18004/18005/18006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65089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tool_xray/tool_frac/tool_meta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99BBA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仅平台执行器</w:t>
            </w:r>
          </w:p>
        </w:tc>
        <w:tc>
          <w:tcPr>
            <w:tcW w:w="166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E9B5B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每项独立日志和配置。</w:t>
            </w:r>
          </w:p>
        </w:tc>
      </w:tr>
    </w:tbl>
    <w:p w14:paraId="1CA227A4">
      <w:pPr>
        <w:pStyle w:val="81"/>
        <w:spacing w:after="0"/>
        <w:rPr>
          <w:b w:val="0"/>
          <w:bCs w:val="0"/>
        </w:rPr>
      </w:pPr>
    </w:p>
    <w:p w14:paraId="04402592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离线交付包</w:t>
      </w:r>
    </w:p>
    <w:p w14:paraId="0EB302D1">
      <w:pPr>
        <w:pStyle w:val="81"/>
        <w:rPr>
          <w:b w:val="0"/>
          <w:bCs w:val="0"/>
        </w:rPr>
      </w:pPr>
      <w:r>
        <w:rPr>
          <w:b w:val="0"/>
          <w:bCs w:val="0"/>
        </w:rPr>
        <w:t>每个服务交付源码或可维护构建物、依赖锁定文件、离线wheel/系统包、模型及SHA256、配置模板、安装脚本、启动/停止/健康检查、日志说明、数据库迁移/回退、测试样例、许可证和运维手册。交付包必须在断公网空机环境按文档重建。</w:t>
      </w:r>
    </w:p>
    <w:p w14:paraId="354BDED0">
      <w:pPr>
        <w:pStyle w:val="80"/>
        <w:keepNext/>
        <w:keepLines/>
        <w:rPr>
          <w:b w:val="0"/>
          <w:bCs w:val="0"/>
        </w:rPr>
      </w:pPr>
      <w:bookmarkStart w:id="74" w:name="_Toc8072"/>
      <w:r>
        <w:rPr>
          <w:b w:val="0"/>
          <w:bCs w:val="0"/>
        </w:rPr>
        <w:t>异常 降级与运行保障方案</w:t>
      </w:r>
      <w:bookmarkEnd w:id="74"/>
    </w:p>
    <w:p w14:paraId="2406F25E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分层降级</w:t>
      </w:r>
    </w:p>
    <w:p w14:paraId="5E773215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降级策略</w:t>
      </w:r>
    </w:p>
    <w:tbl>
      <w:tblPr>
        <w:tblStyle w:val="27"/>
        <w:tblW w:w="8304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3EFAFCE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CB8D03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故障层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60FA9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保留能力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EEF9E6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暂停能力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97DB96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恢复动作</w:t>
            </w:r>
          </w:p>
        </w:tc>
      </w:tr>
      <w:tr w14:paraId="3DF88D5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3E5C0C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大模型/Dify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DF027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专业工作台、任务、原始结果、基础模板报告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DA9F3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对话路由、自然语言解释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042D8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恢复后补生成解释，不改任务状态。</w:t>
            </w:r>
          </w:p>
        </w:tc>
      </w:tr>
      <w:tr w14:paraId="149C913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2701D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RAGFlow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10E51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检测、任务、结果和无引用的基础说明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FADD1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知识问答和基于资料的研判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78434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索引恢复后重新检索。</w:t>
            </w:r>
          </w:p>
        </w:tc>
      </w:tr>
      <w:tr w14:paraId="6F931F7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09FB3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单个专业工具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C3099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其他五项工具和全部平台管理功能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07E31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该工具新任务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8722F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健康检查通过并完成固定样例。</w:t>
            </w:r>
          </w:p>
        </w:tc>
      </w:tr>
      <w:tr w14:paraId="7437A55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AD065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Ceph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64A6B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只读查询已缓存元数据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8F49D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上传、产物、报告生成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FCA6F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恢复对象一致性后开放写入。</w:t>
            </w:r>
          </w:p>
        </w:tc>
      </w:tr>
      <w:tr w14:paraId="0670A22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62D5F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达梦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91B35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静态页面和明确的维护提示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4AE83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所有事实写入和任务受理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951DC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恢复数据库并对账队列/对象。</w:t>
            </w:r>
          </w:p>
        </w:tc>
      </w:tr>
    </w:tbl>
    <w:p w14:paraId="5C2FB3BE">
      <w:pPr>
        <w:pStyle w:val="81"/>
        <w:spacing w:after="0"/>
        <w:rPr>
          <w:b w:val="0"/>
          <w:bCs w:val="0"/>
        </w:rPr>
      </w:pPr>
    </w:p>
    <w:p w14:paraId="64303E6D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监控与日志</w:t>
      </w:r>
    </w:p>
    <w:p w14:paraId="2B86C459">
      <w:pPr>
        <w:pStyle w:val="113"/>
        <w:numPr>
          <w:ilvl w:val="0"/>
          <w:numId w:val="25"/>
        </w:numPr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>request_id、task_id、tool_job_id贯穿平台、适配器和工具日志。</w:t>
      </w:r>
    </w:p>
    <w:p w14:paraId="18D3C43A">
      <w:pPr>
        <w:pStyle w:val="113"/>
        <w:numPr>
          <w:ilvl w:val="0"/>
          <w:numId w:val="25"/>
        </w:numPr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>监控API耗时/错误率、队列长度/等待、任务成功率、工具健康、模型切换、存储容量、解析失败和采集失败。</w:t>
      </w:r>
    </w:p>
    <w:p w14:paraId="4F1F4DCE">
      <w:pPr>
        <w:pStyle w:val="113"/>
        <w:numPr>
          <w:ilvl w:val="0"/>
          <w:numId w:val="25"/>
        </w:numPr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>普通日志不记录原图、全文、凭证、签名URL和服务器绝对路径；错误返回不暴露堆栈。</w:t>
      </w:r>
    </w:p>
    <w:p w14:paraId="666BD78B">
      <w:pPr>
        <w:pStyle w:val="113"/>
        <w:numPr>
          <w:ilvl w:val="0"/>
          <w:numId w:val="25"/>
        </w:numPr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>告警按工具不可用、积压、错误率、容量、备份失败和发布失败分级。</w:t>
      </w:r>
    </w:p>
    <w:p w14:paraId="3D7E23A0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备份与恢复</w:t>
      </w:r>
    </w:p>
    <w:p w14:paraId="2E9F5657">
      <w:pPr>
        <w:pStyle w:val="81"/>
        <w:rPr>
          <w:b w:val="0"/>
          <w:bCs w:val="0"/>
        </w:rPr>
      </w:pPr>
      <w:r>
        <w:rPr>
          <w:b w:val="0"/>
          <w:bCs w:val="0"/>
        </w:rPr>
        <w:t>备份覆盖达梦业务数据、Ceph对象、工具/模型注册表、知识来源映射、配置和审计。数据库备份与对象清单使用同一批次号。恢复演练至少验证一个历史任务、一个批准报告、一个模型版本和一个知识引用能够完整打开。RPO、RTO和保留期由运维在G0/G1冻结。</w:t>
      </w:r>
    </w:p>
    <w:p w14:paraId="3BDA012B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安全控制</w:t>
      </w:r>
    </w:p>
    <w:p w14:paraId="44BC1B9F">
      <w:pPr>
        <w:pStyle w:val="113"/>
        <w:numPr>
          <w:ilvl w:val="0"/>
          <w:numId w:val="26"/>
        </w:numPr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>全部接口服务端鉴权，文件预览、下载、检索和引用均重新检查数据范围。</w:t>
      </w:r>
    </w:p>
    <w:p w14:paraId="05D05704">
      <w:pPr>
        <w:pStyle w:val="113"/>
        <w:numPr>
          <w:ilvl w:val="0"/>
          <w:numId w:val="26"/>
        </w:numPr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>上传文件检查类型、内容、大小和路径；压缩包/解析限制解压大小、深度和执行权限。</w:t>
      </w:r>
    </w:p>
    <w:p w14:paraId="4D064A7C">
      <w:pPr>
        <w:pStyle w:val="113"/>
        <w:numPr>
          <w:ilvl w:val="0"/>
          <w:numId w:val="26"/>
        </w:numPr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>采集智能体、工具适配器和文件URL只访问白名单地址，防止提示词或文件内容诱导访问任意内网服务。</w:t>
      </w:r>
    </w:p>
    <w:p w14:paraId="473E0334">
      <w:pPr>
        <w:pStyle w:val="113"/>
        <w:numPr>
          <w:ilvl w:val="0"/>
          <w:numId w:val="26"/>
        </w:numPr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>凭证采用受控秘密配置或加密存储，支持轮换；页面不可读回明文。</w:t>
      </w:r>
    </w:p>
    <w:p w14:paraId="6CBCFC6A">
      <w:pPr>
        <w:pStyle w:val="80"/>
        <w:keepNext/>
        <w:keepLines/>
        <w:rPr>
          <w:b w:val="0"/>
          <w:bCs w:val="0"/>
        </w:rPr>
      </w:pPr>
      <w:bookmarkStart w:id="75" w:name="_Toc6491"/>
      <w:r>
        <w:rPr>
          <w:b w:val="0"/>
          <w:bCs w:val="0"/>
        </w:rPr>
        <w:t>项目实施计划与工作分解</w:t>
      </w:r>
      <w:bookmarkEnd w:id="75"/>
    </w:p>
    <w:p w14:paraId="16904B77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实施节奏与启动条件</w:t>
      </w:r>
    </w:p>
    <w:p w14:paraId="7B336444">
      <w:pPr>
        <w:pStyle w:val="81"/>
        <w:rPr>
          <w:b w:val="0"/>
          <w:bCs w:val="0"/>
        </w:rPr>
      </w:pPr>
      <w:r>
        <w:rPr>
          <w:b w:val="0"/>
          <w:bCs w:val="0"/>
        </w:rPr>
        <w:t>计划采用G0至G4五个阶段。T0不是合同签署日或文档发布日期，而是平台开发、目标环境、工具负责人和样例资料均已到位的联合启动日。总体工期需在G0完成后依据六项接口差距和环境实测调整。</w:t>
      </w:r>
    </w:p>
    <w:p w14:paraId="6A5DFDD5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阶段总览</w:t>
      </w:r>
    </w:p>
    <w:tbl>
      <w:tblPr>
        <w:tblStyle w:val="27"/>
        <w:tblW w:w="8304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0"/>
        <w:gridCol w:w="1356"/>
        <w:gridCol w:w="3302"/>
        <w:gridCol w:w="2076"/>
      </w:tblGrid>
      <w:tr w14:paraId="59A9911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7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FF14E5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阶段</w:t>
            </w:r>
          </w:p>
        </w:tc>
        <w:tc>
          <w:tcPr>
            <w:tcW w:w="135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FEB5B1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建议周期</w:t>
            </w:r>
          </w:p>
        </w:tc>
        <w:tc>
          <w:tcPr>
            <w:tcW w:w="3302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FC742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主要目标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45F1CE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出阶段条件</w:t>
            </w:r>
          </w:p>
        </w:tc>
      </w:tr>
      <w:tr w14:paraId="1653838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7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BCDBA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G0 接入基线</w:t>
            </w:r>
          </w:p>
        </w:tc>
        <w:tc>
          <w:tcPr>
            <w:tcW w:w="135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3BDC1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2周</w:t>
            </w:r>
          </w:p>
        </w:tc>
        <w:tc>
          <w:tcPr>
            <w:tcW w:w="3302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6A644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冻结六项Schema、环境、责任、样例和资源。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BB677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阻断项有结论；接口差距和任务清单可执行。</w:t>
            </w:r>
          </w:p>
        </w:tc>
      </w:tr>
      <w:tr w14:paraId="0A03F30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7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30086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G1 平台骨架</w:t>
            </w:r>
          </w:p>
        </w:tc>
        <w:tc>
          <w:tcPr>
            <w:tcW w:w="135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5EF897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3周</w:t>
            </w:r>
          </w:p>
        </w:tc>
        <w:tc>
          <w:tcPr>
            <w:tcW w:w="3302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7943F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完成门户、RBAC、资产、任务、结果骨架和首个工具闭环。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DA5BB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一项工具正常/异常/恢复流程通过。</w:t>
            </w:r>
          </w:p>
        </w:tc>
      </w:tr>
      <w:tr w14:paraId="47D9BA9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7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0228B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G2 六项检测</w:t>
            </w:r>
          </w:p>
        </w:tc>
        <w:tc>
          <w:tcPr>
            <w:tcW w:w="135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A8E077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4周</w:t>
            </w:r>
          </w:p>
        </w:tc>
        <w:tc>
          <w:tcPr>
            <w:tcW w:w="3302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9B087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扩展六适配器、专业页面、复核和报告。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351A2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六项均完成端到端联调。</w:t>
            </w:r>
          </w:p>
        </w:tc>
      </w:tr>
      <w:tr w14:paraId="22E694E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7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25CAE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G3 工具链与知识</w:t>
            </w:r>
          </w:p>
        </w:tc>
        <w:tc>
          <w:tcPr>
            <w:tcW w:w="135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00AD6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4周</w:t>
            </w:r>
          </w:p>
        </w:tc>
        <w:tc>
          <w:tcPr>
            <w:tcW w:w="3302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37B60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标注、数据集、训练评估发布、知识采集和综合研判。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61D4E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各模块按工具能力完成至少一条闭环。</w:t>
            </w:r>
          </w:p>
        </w:tc>
      </w:tr>
      <w:tr w14:paraId="4BC274F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7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47803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G4 离线交付</w:t>
            </w:r>
          </w:p>
        </w:tc>
        <w:tc>
          <w:tcPr>
            <w:tcW w:w="135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57BA07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2周</w:t>
            </w:r>
          </w:p>
        </w:tc>
        <w:tc>
          <w:tcPr>
            <w:tcW w:w="3302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05E9E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生产安装、性能、安全、备份恢复和验收。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B6677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验收矩阵通过，遗留项有批准处置。</w:t>
            </w:r>
          </w:p>
        </w:tc>
      </w:tr>
    </w:tbl>
    <w:p w14:paraId="1971BF3A">
      <w:pPr>
        <w:pStyle w:val="81"/>
        <w:spacing w:after="0"/>
        <w:rPr>
          <w:b w:val="0"/>
          <w:bCs w:val="0"/>
        </w:rPr>
      </w:pPr>
    </w:p>
    <w:p w14:paraId="7BFB7445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G0 接入基线工作包</w:t>
      </w:r>
    </w:p>
    <w:p w14:paraId="35A8676E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G0工作分解</w:t>
      </w:r>
    </w:p>
    <w:tbl>
      <w:tblPr>
        <w:tblStyle w:val="27"/>
        <w:tblW w:w="8304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005254B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1AA115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ID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CE067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开发任务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5F00A5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责任方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EC5AE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输入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A93FC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输出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E2B55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完成条件</w:t>
            </w:r>
          </w:p>
        </w:tc>
      </w:tr>
      <w:tr w14:paraId="669F878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60A7C8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G0-01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47046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六项业务对象、标签、输入分组和结果语义确认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713A57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业务+工具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06509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填报表、样例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F6AC9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专业Schema基线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8E024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热部/断口/金相矛盾关闭。</w:t>
            </w:r>
          </w:p>
        </w:tc>
      </w:tr>
      <w:tr w14:paraId="02E2241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A26C2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G0-02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7DB7D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API差距与模拟服务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A918C1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平台+工具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4F155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OpenAPI/现有API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6AD67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差距表、Mock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0C560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平台可按统一契约联调。</w:t>
            </w:r>
          </w:p>
        </w:tc>
      </w:tr>
      <w:tr w14:paraId="182EA7A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EF6BEC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G0-03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5D109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目标环境兼容验证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4A4C47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工具+运维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34934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NFC、Python3.11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5AD99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兼容记录、依赖锁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DC4EF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六项能安装或有批准偏离。</w:t>
            </w:r>
          </w:p>
        </w:tc>
      </w:tr>
      <w:tr w14:paraId="3BAB3EB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A70F3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G0-04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BCB4D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正常/异常/边界样例冻结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C2840B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工具+业务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08933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脱敏样例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F6C42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样例包、期望JSON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92031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每项至少覆盖四类输入。</w:t>
            </w:r>
          </w:p>
        </w:tc>
      </w:tr>
      <w:tr w14:paraId="5443702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1CF70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G0-05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304A6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权限、数据和保留策略确认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2B2F0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建设方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3B284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组织制度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CBB6D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权限矩阵、策略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45947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可进入数据模型和接口开发。</w:t>
            </w:r>
          </w:p>
        </w:tc>
      </w:tr>
      <w:tr w14:paraId="37DF196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9EAC5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G0-06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9E563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资源与端口现场确认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136801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运维+平台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38BE2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服务器、网络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5A115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资源清单、端口表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00405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账号、目录、端口和存储可用。</w:t>
            </w:r>
          </w:p>
        </w:tc>
      </w:tr>
    </w:tbl>
    <w:p w14:paraId="5344D39A">
      <w:pPr>
        <w:pStyle w:val="81"/>
        <w:spacing w:after="0"/>
        <w:rPr>
          <w:b w:val="0"/>
          <w:bCs w:val="0"/>
        </w:rPr>
      </w:pPr>
    </w:p>
    <w:p w14:paraId="694DBCFC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G1至G2 检测闭环工作包</w:t>
      </w:r>
    </w:p>
    <w:p w14:paraId="7A8CCC32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检测闭环工作分解</w:t>
      </w:r>
    </w:p>
    <w:tbl>
      <w:tblPr>
        <w:tblStyle w:val="27"/>
        <w:tblW w:w="8304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54C5885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62BE67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ID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E4320E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开发任务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4ECF95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责任方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F0964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依赖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167FF6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输出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3BACE6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完成条件</w:t>
            </w:r>
          </w:p>
        </w:tc>
      </w:tr>
      <w:tr w14:paraId="2ABE869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CE95A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G1-01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092CF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前端门户与专业工作台骨架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00BB31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33A415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权限/原型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E25C4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首页、工作台、任务页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23836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入口按权限展示。</w:t>
            </w:r>
          </w:p>
        </w:tc>
      </w:tr>
      <w:tr w14:paraId="160E160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E1E3DB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G1-02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45BB5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Asset/RBAC/Task/Result服务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2082CE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C30651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数据/API基线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6E6C1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业务API与表结构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90831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状态、权限、幂等测试通过。</w:t>
            </w:r>
          </w:p>
        </w:tc>
      </w:tr>
      <w:tr w14:paraId="6A86EE7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563565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G1-03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76A7E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任务执行器和适配器框架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87E23C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57DE68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Mock服务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9B1EB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执行、轮询、重试、对账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73B51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崩溃恢复和重复提交通过。</w:t>
            </w:r>
          </w:p>
        </w:tc>
      </w:tr>
      <w:tr w14:paraId="6AF8D47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85C6C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G1-04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A3366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首项工具端到端接入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86937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平台+试点工具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A125A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稳定API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98295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完整检测闭环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2AD27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正常/异常/取消/重试通过。</w:t>
            </w:r>
          </w:p>
        </w:tc>
      </w:tr>
      <w:tr w14:paraId="2A27E83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3907A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G2-01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D490A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其余五项工具适配器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11597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平台+工具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A01016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G1框架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0E63D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六项可执行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6942E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逐项Schema和样例通过。</w:t>
            </w:r>
          </w:p>
        </w:tc>
      </w:tr>
      <w:tr w14:paraId="09D7A94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0BF8B7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G2-02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A5C26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专业结果渲染与复核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A57DCE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平台+业务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B1B18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结果Schema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7B5B5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图层/测量/复核页面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C2549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原始、解释、人工结论分区。</w:t>
            </w:r>
          </w:p>
        </w:tc>
      </w:tr>
      <w:tr w14:paraId="4C75578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5588E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G2-03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29E67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智能助手路由与参数确认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32DEE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DA6AF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能力注册表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D828C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Dify流程和任务卡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D740C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路由/澄清/降级通过。</w:t>
            </w:r>
          </w:p>
        </w:tc>
      </w:tr>
      <w:tr w14:paraId="1BAC801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CEE48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G2-04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67542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报告草稿与跨任务汇总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D72BC1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平台+业务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3BD7CE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报告模板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DDC03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报告服务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0F841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版本、来源、权限通过。</w:t>
            </w:r>
          </w:p>
        </w:tc>
      </w:tr>
    </w:tbl>
    <w:p w14:paraId="773426B9">
      <w:pPr>
        <w:pStyle w:val="81"/>
        <w:spacing w:after="0"/>
        <w:rPr>
          <w:b w:val="0"/>
          <w:bCs w:val="0"/>
        </w:rPr>
      </w:pPr>
    </w:p>
    <w:p w14:paraId="0CFE70F7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G3至G4 工具链和交付工作包</w:t>
      </w:r>
    </w:p>
    <w:p w14:paraId="18EBA6B1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工具链与交付工作分解</w:t>
      </w:r>
    </w:p>
    <w:tbl>
      <w:tblPr>
        <w:tblStyle w:val="27"/>
        <w:tblW w:w="8304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7ED888E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6F737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ID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252DB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开发任务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3D6E6B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责任方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C080EE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依赖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8BFC31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输出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765421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完成条件</w:t>
            </w:r>
          </w:p>
        </w:tc>
      </w:tr>
      <w:tr w14:paraId="4FC49B7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50E15B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G3-01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A5033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标注接入与反馈候选池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A68095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平台+工具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990045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标签Schema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C8878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标注任务/修订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385D5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嵌入或API模式闭环。</w:t>
            </w:r>
          </w:p>
        </w:tc>
      </w:tr>
      <w:tr w14:paraId="4885344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72B29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G3-02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A1075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数据集冻结与血缘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44EC5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AB711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复核标注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E0B72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DatasetVersion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D0121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快照不可变、划分可追溯。</w:t>
            </w:r>
          </w:p>
        </w:tc>
      </w:tr>
      <w:tr w14:paraId="4B79662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EA41F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G3-03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7EA42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训练/评估/发布/回滚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635965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平台+工具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E4708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工具链API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E892E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模型生命周期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68919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至少一项工具全流程通过。</w:t>
            </w:r>
          </w:p>
        </w:tc>
      </w:tr>
      <w:tr w14:paraId="4219611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2EB1AE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G3-04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F2273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知识入库与采集智能体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7AC61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平台+业务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73ED18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白名单/资料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2F33E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文档、索引、引用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04E98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权限、去重、增量和失败重试通过。</w:t>
            </w:r>
          </w:p>
        </w:tc>
      </w:tr>
      <w:tr w14:paraId="603878B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2E705E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G3-05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C6997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工具服务中心与管理后台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1C1A7C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725226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对象/权限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8E195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管理页面和审计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1AC8E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配置版本化、凭证不可读回。</w:t>
            </w:r>
          </w:p>
        </w:tc>
      </w:tr>
      <w:tr w14:paraId="7249878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3BBCDC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G4-01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2ADBF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离线空机安装与迁移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43647C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平台+运维+工具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5EDBFC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离线包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A5DCD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安装记录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64BF0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断公网从空机完成部署。</w:t>
            </w:r>
          </w:p>
        </w:tc>
      </w:tr>
      <w:tr w14:paraId="3B88B22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CA1C6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G4-02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564DE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性能/稳定性/安全测试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CB084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测试+各方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1CEA6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冻结环境和样例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600F4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测试报告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B6030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门槛全部有实测结论。</w:t>
            </w:r>
          </w:p>
        </w:tc>
      </w:tr>
      <w:tr w14:paraId="06B21C0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2D10F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G4-03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08AF5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备份恢复、培训和验收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B7E2B1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建设方+运维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4D5E0E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交付包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8B9EF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演练/培训/验收记录</w:t>
            </w:r>
          </w:p>
        </w:tc>
        <w:tc>
          <w:tcPr>
            <w:tcW w:w="138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76A72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AT用例通过并完成移交。</w:t>
            </w:r>
          </w:p>
        </w:tc>
      </w:tr>
    </w:tbl>
    <w:p w14:paraId="3912E3F6">
      <w:pPr>
        <w:pStyle w:val="81"/>
        <w:spacing w:after="0"/>
        <w:rPr>
          <w:b w:val="0"/>
          <w:bCs w:val="0"/>
        </w:rPr>
      </w:pPr>
    </w:p>
    <w:p w14:paraId="0CD8F6AD">
      <w:pPr>
        <w:pStyle w:val="80"/>
        <w:keepNext/>
        <w:keepLines/>
        <w:rPr>
          <w:b w:val="0"/>
          <w:bCs w:val="0"/>
        </w:rPr>
      </w:pPr>
      <w:bookmarkStart w:id="76" w:name="_Toc22352"/>
      <w:r>
        <w:rPr>
          <w:b w:val="0"/>
          <w:bCs w:val="0"/>
        </w:rPr>
        <w:t>各方责任与前置条件</w:t>
      </w:r>
      <w:bookmarkEnd w:id="76"/>
    </w:p>
    <w:p w14:paraId="5B68630E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责任分工矩阵</w:t>
      </w:r>
    </w:p>
    <w:tbl>
      <w:tblPr>
        <w:tblStyle w:val="27"/>
        <w:tblW w:w="8304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5"/>
        <w:gridCol w:w="2387"/>
        <w:gridCol w:w="2076"/>
        <w:gridCol w:w="2076"/>
      </w:tblGrid>
      <w:tr w14:paraId="50F9436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6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DFE88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责任方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E63DB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必须提供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966C1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负责建设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C462F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签字/确认点</w:t>
            </w:r>
          </w:p>
        </w:tc>
      </w:tr>
      <w:tr w14:paraId="07CAE2A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6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142E0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建设方/项目组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4800E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范围、优先级、资源、制度、跨方协调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5BA72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总体方案、计划、变更和验收组织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FBCD7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范围、资源、阶段门和验收。</w:t>
            </w:r>
          </w:p>
        </w:tc>
      </w:tr>
      <w:tr w14:paraId="77F41BB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6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84544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业务与专业团队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BF403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标签、判据、样例、阈值、报告模板、复核人员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81DFB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专业规则确认和结果复核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EB00E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Schema、质量阈值和专业结论。</w:t>
            </w:r>
          </w:p>
        </w:tc>
      </w:tr>
      <w:tr w14:paraId="5175FDC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6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81A88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平台开发团队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012C3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技术设计、代码、测试和文档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43879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前后端、任务、适配器、知识、报告、治理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BDC76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平台功能、接口和运行质量。</w:t>
            </w:r>
          </w:p>
        </w:tc>
      </w:tr>
      <w:tr w14:paraId="2AB4D69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6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DF8D4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六项工具团队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EC8C2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API、Schema、运行包、模型、依赖、样例和证据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0939C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专业检测/标注/训练/评估能力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442A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专业算法、环境兼容和工具性能。</w:t>
            </w:r>
          </w:p>
        </w:tc>
      </w:tr>
      <w:tr w14:paraId="2219951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6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E885F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AI平台团队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E6295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Dify、大模型、RAGFlow接口和配额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32D4F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智能编排和知识服务支撑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F500B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智能服务可用性和版本。</w:t>
            </w:r>
          </w:p>
        </w:tc>
      </w:tr>
      <w:tr w14:paraId="7C55ECB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6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2B1E7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default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szCs w:val="20"/>
                <w:lang w:val="en-US" w:eastAsia="zh-CN"/>
              </w:rPr>
              <w:t>信息技术中心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AA5F3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主机、账号、端口、达梦、Ceph、Higress、备份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36F12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生产部署、监控、备份和恢复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731CA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环境、运行和恢复演练。</w:t>
            </w:r>
          </w:p>
        </w:tc>
      </w:tr>
      <w:tr w14:paraId="6A38481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6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4EAE7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测试与验收组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7B87C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测试计划、用例、问题闭环和证据归档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9A26E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独立测试和验收判定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020B3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验收结果与遗留项。</w:t>
            </w:r>
          </w:p>
        </w:tc>
      </w:tr>
    </w:tbl>
    <w:p w14:paraId="163C4F2E">
      <w:pPr>
        <w:pStyle w:val="81"/>
        <w:spacing w:after="0"/>
        <w:rPr>
          <w:b w:val="0"/>
          <w:bCs w:val="0"/>
        </w:rPr>
      </w:pPr>
    </w:p>
    <w:p w14:paraId="11C498A0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T0启动前置条件</w:t>
      </w:r>
    </w:p>
    <w:p w14:paraId="3FAA01CD">
      <w:pPr>
        <w:pStyle w:val="113"/>
        <w:numPr>
          <w:ilvl w:val="0"/>
          <w:numId w:val="24"/>
        </w:numPr>
        <w:rPr>
          <w:b w:val="0"/>
          <w:bCs w:val="0"/>
        </w:rPr>
      </w:pPr>
      <w:r>
        <w:rPr>
          <w:b w:val="0"/>
          <w:bCs w:val="0"/>
        </w:rPr>
        <w:t>平台开发负责人、六项工具接口负责人、业务复核人和运维负责人名单确认。</w:t>
      </w:r>
    </w:p>
    <w:p w14:paraId="3B59DDED">
      <w:pPr>
        <w:pStyle w:val="113"/>
        <w:numPr>
          <w:ilvl w:val="0"/>
          <w:numId w:val="24"/>
        </w:numPr>
        <w:rPr>
          <w:b w:val="0"/>
          <w:bCs w:val="0"/>
        </w:rPr>
      </w:pPr>
      <w:r>
        <w:rPr>
          <w:b w:val="0"/>
          <w:bCs w:val="0"/>
        </w:rPr>
        <w:t>目标环境或等价验证环境可用，账号、目录、端口、达梦和Ceph访问已开通。</w:t>
      </w:r>
    </w:p>
    <w:p w14:paraId="502588A2">
      <w:pPr>
        <w:pStyle w:val="113"/>
        <w:numPr>
          <w:ilvl w:val="0"/>
          <w:numId w:val="24"/>
        </w:numPr>
        <w:rPr>
          <w:b w:val="0"/>
          <w:bCs w:val="0"/>
        </w:rPr>
      </w:pPr>
      <w:r>
        <w:rPr>
          <w:b w:val="0"/>
          <w:bCs w:val="0"/>
        </w:rPr>
        <w:t>六项工具至少提交一套可运行代码/服务、依赖清单、模型、样例和期望结果。</w:t>
      </w:r>
    </w:p>
    <w:p w14:paraId="1921E6F4">
      <w:pPr>
        <w:pStyle w:val="113"/>
        <w:numPr>
          <w:ilvl w:val="0"/>
          <w:numId w:val="24"/>
        </w:numPr>
        <w:rPr>
          <w:b w:val="0"/>
          <w:bCs w:val="0"/>
        </w:rPr>
      </w:pPr>
      <w:r>
        <w:rPr>
          <w:b w:val="0"/>
          <w:bCs w:val="0"/>
        </w:rPr>
        <w:t>专业Schema、待确认项和偏离项进入统一台账，重大矛盾有决策人和最迟日期。</w:t>
      </w:r>
    </w:p>
    <w:p w14:paraId="495BCE78">
      <w:pPr>
        <w:pStyle w:val="113"/>
        <w:numPr>
          <w:ilvl w:val="0"/>
          <w:numId w:val="24"/>
        </w:numPr>
        <w:rPr>
          <w:b w:val="0"/>
          <w:bCs w:val="0"/>
        </w:rPr>
      </w:pPr>
      <w:r>
        <w:rPr>
          <w:b w:val="0"/>
          <w:bCs w:val="0"/>
        </w:rPr>
        <w:t>项目代码库、问题库、文档库和版本管理规则建立。</w:t>
      </w:r>
    </w:p>
    <w:p w14:paraId="4344282A">
      <w:pPr>
        <w:pStyle w:val="80"/>
        <w:keepNext/>
        <w:keepLines/>
        <w:rPr>
          <w:b w:val="0"/>
          <w:bCs w:val="0"/>
        </w:rPr>
      </w:pPr>
      <w:bookmarkStart w:id="77" w:name="_Toc5266"/>
      <w:r>
        <w:rPr>
          <w:b w:val="0"/>
          <w:bCs w:val="0"/>
        </w:rPr>
        <w:t>验收方案</w:t>
      </w:r>
      <w:bookmarkEnd w:id="77"/>
    </w:p>
    <w:p w14:paraId="4D3022C1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验收原则</w:t>
      </w:r>
    </w:p>
    <w:p w14:paraId="3D87EB5D">
      <w:pPr>
        <w:pStyle w:val="81"/>
        <w:rPr>
          <w:b w:val="0"/>
          <w:bCs w:val="0"/>
        </w:rPr>
      </w:pPr>
      <w:r>
        <w:rPr>
          <w:b w:val="0"/>
          <w:bCs w:val="0"/>
        </w:rPr>
        <w:t>验收同时覆盖业务功能、专业质量、接口契约、离线部署、性能稳定性、安全权限和可运维性。页面可打开或接口返回200不能单独证明完成；专业阈值和性能阈值必须在冻结环境、固定样本和明确并发条件下记录。</w:t>
      </w:r>
    </w:p>
    <w:p w14:paraId="18B4E5FE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核心验收矩阵</w:t>
      </w:r>
    </w:p>
    <w:tbl>
      <w:tblPr>
        <w:tblStyle w:val="27"/>
        <w:tblW w:w="8304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4"/>
        <w:gridCol w:w="2204"/>
        <w:gridCol w:w="2650"/>
        <w:gridCol w:w="2076"/>
      </w:tblGrid>
      <w:tr w14:paraId="6220224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7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9DCF73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编号</w:t>
            </w:r>
          </w:p>
        </w:tc>
        <w:tc>
          <w:tcPr>
            <w:tcW w:w="220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35D73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场景</w:t>
            </w:r>
          </w:p>
        </w:tc>
        <w:tc>
          <w:tcPr>
            <w:tcW w:w="265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D7FE7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通过标准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AFC0E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责任确认</w:t>
            </w:r>
          </w:p>
        </w:tc>
      </w:tr>
      <w:tr w14:paraId="5566D97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7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8CD2B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AT-01</w:t>
            </w:r>
          </w:p>
        </w:tc>
        <w:tc>
          <w:tcPr>
            <w:tcW w:w="220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CCC08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双入口创建任务</w:t>
            </w:r>
          </w:p>
        </w:tc>
        <w:tc>
          <w:tcPr>
            <w:tcW w:w="265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B5BFA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对话和工作台进入同一Task系统，任务可互相打开。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AD6173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平台+业务</w:t>
            </w:r>
          </w:p>
        </w:tc>
      </w:tr>
      <w:tr w14:paraId="1AE049F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7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01BA08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AT-02</w:t>
            </w:r>
          </w:p>
        </w:tc>
        <w:tc>
          <w:tcPr>
            <w:tcW w:w="220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9ED3D5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六项正常检测</w:t>
            </w:r>
          </w:p>
        </w:tc>
        <w:tc>
          <w:tcPr>
            <w:tcW w:w="265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52725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每项完成上传、执行、结果、复核、追溯和报告。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E1308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工具+业务</w:t>
            </w:r>
          </w:p>
        </w:tc>
      </w:tr>
      <w:tr w14:paraId="13334C5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7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9CE33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AT-03</w:t>
            </w:r>
          </w:p>
        </w:tc>
        <w:tc>
          <w:tcPr>
            <w:tcW w:w="220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93A7C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专业输入关系</w:t>
            </w:r>
          </w:p>
        </w:tc>
        <w:tc>
          <w:tcPr>
            <w:tcW w:w="265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75790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X射线参考/目标、热部顺序、断口分支和金相标定正确。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79F5E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业务+工具</w:t>
            </w:r>
          </w:p>
        </w:tc>
      </w:tr>
      <w:tr w14:paraId="0249D71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7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85BDA7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AT-04</w:t>
            </w:r>
          </w:p>
        </w:tc>
        <w:tc>
          <w:tcPr>
            <w:tcW w:w="220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98253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异常与边界</w:t>
            </w:r>
          </w:p>
        </w:tc>
        <w:tc>
          <w:tcPr>
            <w:tcW w:w="265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BFB40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损坏、缺参、超限、低质量、Schema错误返回明确且不污染其他任务。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3C5EB7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测试+平台</w:t>
            </w:r>
          </w:p>
        </w:tc>
      </w:tr>
      <w:tr w14:paraId="0C33150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7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F9239E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AT-05</w:t>
            </w:r>
          </w:p>
        </w:tc>
        <w:tc>
          <w:tcPr>
            <w:tcW w:w="220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C2182E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幂等与重复提交</w:t>
            </w:r>
          </w:p>
        </w:tc>
        <w:tc>
          <w:tcPr>
            <w:tcW w:w="265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8FE72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重复点击不创建重复任务；冲突请求返回409。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6780C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</w:t>
            </w:r>
          </w:p>
        </w:tc>
      </w:tr>
      <w:tr w14:paraId="73CAF78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7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7F7A4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AT-06</w:t>
            </w:r>
          </w:p>
        </w:tc>
        <w:tc>
          <w:tcPr>
            <w:tcW w:w="220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F326C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超时与对账</w:t>
            </w:r>
          </w:p>
        </w:tc>
        <w:tc>
          <w:tcPr>
            <w:tcW w:w="265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B19E9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工具已受理但响应丢失时不重复执行，最终可对账。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F8D7E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平台+工具</w:t>
            </w:r>
          </w:p>
        </w:tc>
      </w:tr>
      <w:tr w14:paraId="5FB4CA1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7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B13C27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AT-07</w:t>
            </w:r>
          </w:p>
        </w:tc>
        <w:tc>
          <w:tcPr>
            <w:tcW w:w="220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3AB691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取消与重试</w:t>
            </w:r>
          </w:p>
        </w:tc>
        <w:tc>
          <w:tcPr>
            <w:tcW w:w="265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643A3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取消状态真实；失败项独立重试并保留旧任务。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27E74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平台+工具</w:t>
            </w:r>
          </w:p>
        </w:tc>
      </w:tr>
      <w:tr w14:paraId="6A71D79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7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8945A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AT-08</w:t>
            </w:r>
          </w:p>
        </w:tc>
        <w:tc>
          <w:tcPr>
            <w:tcW w:w="220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0D07A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权限隔离</w:t>
            </w:r>
          </w:p>
        </w:tc>
        <w:tc>
          <w:tcPr>
            <w:tcW w:w="265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8ED3E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未授权能力、文件、知识、任务和报告均不可访问。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8EA62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平台+安全</w:t>
            </w:r>
          </w:p>
        </w:tc>
      </w:tr>
      <w:tr w14:paraId="4025252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7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6FC7B7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AT-09</w:t>
            </w:r>
          </w:p>
        </w:tc>
        <w:tc>
          <w:tcPr>
            <w:tcW w:w="220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FB2286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智能助手</w:t>
            </w:r>
          </w:p>
        </w:tc>
        <w:tc>
          <w:tcPr>
            <w:tcW w:w="265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13395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正确路由、参数澄清、引用、降级和禁止高风险自动执行。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AE937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平台+业务</w:t>
            </w:r>
          </w:p>
        </w:tc>
      </w:tr>
      <w:tr w14:paraId="6FA8A46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7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21366E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AT-10</w:t>
            </w:r>
          </w:p>
        </w:tc>
        <w:tc>
          <w:tcPr>
            <w:tcW w:w="220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43BC68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标注与数据集</w:t>
            </w:r>
          </w:p>
        </w:tc>
        <w:tc>
          <w:tcPr>
            <w:tcW w:w="265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2C65D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修订、复核、冻结、划分和血缘可追溯。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42062E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平台+算法</w:t>
            </w:r>
          </w:p>
        </w:tc>
      </w:tr>
      <w:tr w14:paraId="78B85D2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7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B8521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AT-11</w:t>
            </w:r>
          </w:p>
        </w:tc>
        <w:tc>
          <w:tcPr>
            <w:tcW w:w="220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AAD398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训练评估发布</w:t>
            </w:r>
          </w:p>
        </w:tc>
        <w:tc>
          <w:tcPr>
            <w:tcW w:w="265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03411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训练不自动发布，固定版本执行，失败可回滚。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31FF4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平台+工具</w:t>
            </w:r>
          </w:p>
        </w:tc>
      </w:tr>
      <w:tr w14:paraId="1E48341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7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0C224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AT-12</w:t>
            </w:r>
          </w:p>
        </w:tc>
        <w:tc>
          <w:tcPr>
            <w:tcW w:w="220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E672D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知识入库与采集</w:t>
            </w:r>
          </w:p>
        </w:tc>
        <w:tc>
          <w:tcPr>
            <w:tcW w:w="265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C4342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白名单、去重、增量、权限、来源引用和失败重试通过。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138FC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平台+业务</w:t>
            </w:r>
          </w:p>
        </w:tc>
      </w:tr>
      <w:tr w14:paraId="32DB0D8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7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2DB981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AT-13</w:t>
            </w:r>
          </w:p>
        </w:tc>
        <w:tc>
          <w:tcPr>
            <w:tcW w:w="220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8A45D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报告版本</w:t>
            </w:r>
          </w:p>
        </w:tc>
        <w:tc>
          <w:tcPr>
            <w:tcW w:w="265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231A8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草稿/批准/替代状态、数据和模板版本固定。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F45EB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平台+业务</w:t>
            </w:r>
          </w:p>
        </w:tc>
      </w:tr>
      <w:tr w14:paraId="1E1BA76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7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6F4673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AT-14</w:t>
            </w:r>
          </w:p>
        </w:tc>
        <w:tc>
          <w:tcPr>
            <w:tcW w:w="220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20224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离线安装</w:t>
            </w:r>
          </w:p>
        </w:tc>
        <w:tc>
          <w:tcPr>
            <w:tcW w:w="265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FE334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断公网空机按交付包完成安装和冷启动。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589F1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运维+各方</w:t>
            </w:r>
          </w:p>
        </w:tc>
      </w:tr>
      <w:tr w14:paraId="3DF1DDE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7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C5A02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AT-15</w:t>
            </w:r>
          </w:p>
        </w:tc>
        <w:tc>
          <w:tcPr>
            <w:tcW w:w="220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82644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性能与稳定性</w:t>
            </w:r>
          </w:p>
        </w:tc>
        <w:tc>
          <w:tcPr>
            <w:tcW w:w="265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E4D9D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约定并发、连续任务、P95、内存和失败率达到冻结门槛。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F7803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测试+工具</w:t>
            </w:r>
          </w:p>
        </w:tc>
      </w:tr>
      <w:tr w14:paraId="712F0CE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7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717273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AT-16</w:t>
            </w:r>
          </w:p>
        </w:tc>
        <w:tc>
          <w:tcPr>
            <w:tcW w:w="2204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AC828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备份恢复</w:t>
            </w:r>
          </w:p>
        </w:tc>
        <w:tc>
          <w:tcPr>
            <w:tcW w:w="265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C39A8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任务、报告、模型和知识引用均可从备份恢复。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49189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运维+平台</w:t>
            </w:r>
          </w:p>
        </w:tc>
      </w:tr>
    </w:tbl>
    <w:p w14:paraId="468C86DA">
      <w:pPr>
        <w:pStyle w:val="81"/>
        <w:spacing w:after="0"/>
        <w:rPr>
          <w:b w:val="0"/>
          <w:bCs w:val="0"/>
        </w:rPr>
      </w:pPr>
    </w:p>
    <w:p w14:paraId="3246F0F5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专业质量与性能记录</w:t>
      </w:r>
    </w:p>
    <w:p w14:paraId="70D822E4">
      <w:pPr>
        <w:pStyle w:val="81"/>
        <w:rPr>
          <w:b w:val="0"/>
          <w:bCs w:val="0"/>
        </w:rPr>
      </w:pPr>
      <w:r>
        <w:rPr>
          <w:b w:val="0"/>
          <w:bCs w:val="0"/>
        </w:rPr>
        <w:t>每项工具分别记录测试硬件、操作系统、Python/框架版本、模型哈希、图像数量和规格、并发、预热、Avg/P50/P95/Max、吞吐、峰值内存和失败数。检测、分类、分割和测量使用业务批准的指标与阈值，不用平均指标掩盖关键缺陷漏检。</w:t>
      </w:r>
    </w:p>
    <w:p w14:paraId="0349B508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验收用例证据</w:t>
      </w:r>
    </w:p>
    <w:p w14:paraId="179A8692">
      <w:pPr>
        <w:pStyle w:val="113"/>
        <w:numPr>
          <w:ilvl w:val="0"/>
          <w:numId w:val="27"/>
        </w:numPr>
        <w:rPr>
          <w:b w:val="0"/>
          <w:bCs w:val="0"/>
        </w:rPr>
      </w:pPr>
      <w:r>
        <w:rPr>
          <w:b w:val="0"/>
          <w:bCs w:val="0"/>
        </w:rPr>
        <w:t>用例记录包含前置数据、步骤、输入、预期、实际、截图/日志/JSON、版本、执行人和结论。</w:t>
      </w:r>
    </w:p>
    <w:p w14:paraId="4B73E7DB">
      <w:pPr>
        <w:pStyle w:val="113"/>
        <w:numPr>
          <w:ilvl w:val="0"/>
          <w:numId w:val="27"/>
        </w:numPr>
        <w:rPr>
          <w:b w:val="0"/>
          <w:bCs w:val="0"/>
        </w:rPr>
      </w:pPr>
      <w:r>
        <w:rPr>
          <w:b w:val="0"/>
          <w:bCs w:val="0"/>
        </w:rPr>
        <w:t>工具工作簿中的“估算值”“设计预期”和未验证样例不作为通过证据。</w:t>
      </w:r>
    </w:p>
    <w:p w14:paraId="3BB6619A">
      <w:pPr>
        <w:pStyle w:val="113"/>
        <w:numPr>
          <w:ilvl w:val="0"/>
          <w:numId w:val="27"/>
        </w:numPr>
        <w:rPr>
          <w:b w:val="0"/>
          <w:bCs w:val="0"/>
        </w:rPr>
      </w:pPr>
      <w:r>
        <w:rPr>
          <w:b w:val="0"/>
          <w:bCs w:val="0"/>
        </w:rPr>
        <w:t>遗留问题必须注明影响、临时措施、责任人、完成日期和批准人；核心闭环、安全和数据完整性问题不得带病通过。</w:t>
      </w:r>
    </w:p>
    <w:p w14:paraId="2AED654E">
      <w:pPr>
        <w:pStyle w:val="80"/>
        <w:keepNext/>
        <w:keepLines/>
        <w:rPr>
          <w:b w:val="0"/>
          <w:bCs w:val="0"/>
        </w:rPr>
      </w:pPr>
      <w:bookmarkStart w:id="78" w:name="_Toc19225"/>
      <w:r>
        <w:rPr>
          <w:b w:val="0"/>
          <w:bCs w:val="0"/>
        </w:rPr>
        <w:t>建设依据</w:t>
      </w:r>
      <w:r>
        <w:rPr>
          <w:rFonts w:hint="eastAsia"/>
          <w:b w:val="0"/>
          <w:bCs w:val="0"/>
          <w:lang w:eastAsia="zh-CN"/>
        </w:rPr>
        <w:t>、</w:t>
      </w:r>
      <w:r>
        <w:rPr>
          <w:b w:val="0"/>
          <w:bCs w:val="0"/>
        </w:rPr>
        <w:t>待落实事项与变更管理</w:t>
      </w:r>
      <w:bookmarkEnd w:id="78"/>
    </w:p>
    <w:p w14:paraId="305379F9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编制依据</w:t>
      </w:r>
    </w:p>
    <w:p w14:paraId="51ABF54F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建设依据与配套文件</w:t>
      </w:r>
    </w:p>
    <w:tbl>
      <w:tblPr>
        <w:tblStyle w:val="27"/>
        <w:tblW w:w="8304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7"/>
        <w:gridCol w:w="1500"/>
        <w:gridCol w:w="2141"/>
        <w:gridCol w:w="2076"/>
      </w:tblGrid>
      <w:tr w14:paraId="777BDED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8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28F4C7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文件名称</w:t>
            </w:r>
          </w:p>
        </w:tc>
        <w:tc>
          <w:tcPr>
            <w:tcW w:w="150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E4DAA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类别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BC459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主要用途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7FD66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本方案使用方式</w:t>
            </w:r>
          </w:p>
        </w:tc>
      </w:tr>
      <w:tr w14:paraId="15D86BE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8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9FCAE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szCs w:val="20"/>
                <w:lang w:val="en-US" w:eastAsia="zh-CN"/>
              </w:rPr>
              <w:t>《</w:t>
            </w: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工业图像智能检测智能体需求说明书</w:t>
            </w:r>
            <w:r>
              <w:rPr>
                <w:rFonts w:hint="eastAsia" w:cs="Times New Roman"/>
                <w:b w:val="0"/>
                <w:bCs w:val="0"/>
                <w:color w:val="000000"/>
                <w:szCs w:val="20"/>
                <w:lang w:val="en-US" w:eastAsia="zh-CN"/>
              </w:rPr>
              <w:t>》</w:t>
            </w: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及讨论材料</w:t>
            </w:r>
          </w:p>
        </w:tc>
        <w:tc>
          <w:tcPr>
            <w:tcW w:w="150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376A7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需求基线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DC3A0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总体定位、智能交互、六专业、任务、知识和工具链需求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88F0F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形成范围和功能设计。</w:t>
            </w:r>
          </w:p>
        </w:tc>
      </w:tr>
      <w:tr w14:paraId="5299243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8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B29FF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szCs w:val="20"/>
                <w:lang w:val="en-US" w:eastAsia="zh-CN"/>
              </w:rPr>
              <w:t>《</w:t>
            </w: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工业图像智能算法工具技术信息及API接入填报模板V1.0</w:t>
            </w:r>
            <w:r>
              <w:rPr>
                <w:rFonts w:hint="eastAsia" w:cs="Times New Roman"/>
                <w:b w:val="0"/>
                <w:bCs w:val="0"/>
                <w:color w:val="000000"/>
                <w:szCs w:val="20"/>
                <w:lang w:val="en-US" w:eastAsia="zh-CN"/>
              </w:rPr>
              <w:t>》</w:t>
            </w:r>
          </w:p>
        </w:tc>
        <w:tc>
          <w:tcPr>
            <w:tcW w:w="150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798085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技术规范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9C02D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工具基本信息、输入输出、API、依赖、性能和交付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9A2E2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形成接入卡、差距和验收项。</w:t>
            </w:r>
          </w:p>
        </w:tc>
      </w:tr>
      <w:tr w14:paraId="7B6B383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8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38E50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szCs w:val="20"/>
                <w:lang w:val="en-US" w:eastAsia="zh-CN"/>
              </w:rPr>
              <w:t>《</w:t>
            </w: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云服务器API版本验证说明与规范</w:t>
            </w:r>
            <w:r>
              <w:rPr>
                <w:rFonts w:hint="eastAsia" w:cs="Times New Roman"/>
                <w:b w:val="0"/>
                <w:bCs w:val="0"/>
                <w:color w:val="000000"/>
                <w:szCs w:val="20"/>
                <w:lang w:val="en-US" w:eastAsia="zh-CN"/>
              </w:rPr>
              <w:t>》</w:t>
            </w:r>
          </w:p>
        </w:tc>
        <w:tc>
          <w:tcPr>
            <w:tcW w:w="150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53E70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接口/部署规范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93639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中科方德、Python3.11、非容器和独立服务要求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04CD7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形成服务器验证基线。</w:t>
            </w:r>
          </w:p>
        </w:tc>
      </w:tr>
      <w:tr w14:paraId="6B2B44C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8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E56FC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szCs w:val="20"/>
                <w:lang w:val="en-US" w:eastAsia="zh-CN"/>
              </w:rPr>
              <w:t>《</w:t>
            </w: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云服务器验证环境准备</w:t>
            </w:r>
            <w:r>
              <w:rPr>
                <w:rFonts w:hint="eastAsia" w:cs="Times New Roman"/>
                <w:b w:val="0"/>
                <w:bCs w:val="0"/>
                <w:color w:val="000000"/>
                <w:szCs w:val="20"/>
                <w:lang w:val="en-US" w:eastAsia="zh-CN"/>
              </w:rPr>
              <w:t>》</w:t>
            </w:r>
          </w:p>
        </w:tc>
        <w:tc>
          <w:tcPr>
            <w:tcW w:w="150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2A829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环境规范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AA639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操作系统、CPU、账号、目录和端口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B056C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形成验证环境与资源清单。</w:t>
            </w:r>
          </w:p>
        </w:tc>
      </w:tr>
      <w:tr w14:paraId="55B804C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8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65B87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szCs w:val="20"/>
                <w:lang w:val="en-US" w:eastAsia="zh-CN"/>
              </w:rPr>
              <w:t>《</w:t>
            </w: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荧光基本信息及API接入</w:t>
            </w:r>
            <w:r>
              <w:rPr>
                <w:rFonts w:hint="eastAsia" w:cs="Times New Roman"/>
                <w:b w:val="0"/>
                <w:bCs w:val="0"/>
                <w:color w:val="000000"/>
                <w:szCs w:val="20"/>
                <w:lang w:val="en-US" w:eastAsia="zh-CN"/>
              </w:rPr>
              <w:t>》</w:t>
            </w:r>
          </w:p>
        </w:tc>
        <w:tc>
          <w:tcPr>
            <w:tcW w:w="150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21CD6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专业输入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84F7B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荧光能力、API、依赖和偏离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9E1B2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形成荧光接入方案和G0任务。</w:t>
            </w:r>
          </w:p>
        </w:tc>
      </w:tr>
      <w:tr w14:paraId="08A096E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8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4F15F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szCs w:val="20"/>
                <w:lang w:val="en-US" w:eastAsia="zh-CN"/>
              </w:rPr>
              <w:t>《</w:t>
            </w: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孔探基本信息及API接入</w:t>
            </w:r>
            <w:r>
              <w:rPr>
                <w:rFonts w:hint="eastAsia" w:cs="Times New Roman"/>
                <w:b w:val="0"/>
                <w:bCs w:val="0"/>
                <w:color w:val="000000"/>
                <w:szCs w:val="20"/>
                <w:lang w:val="en-US" w:eastAsia="zh-CN"/>
              </w:rPr>
              <w:t>》</w:t>
            </w:r>
          </w:p>
        </w:tc>
        <w:tc>
          <w:tcPr>
            <w:tcW w:w="150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BCD4B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专业输入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EC9EC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孔探能力、API、依赖和偏离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34064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形成孔探接入方案和G0任务。</w:t>
            </w:r>
          </w:p>
        </w:tc>
      </w:tr>
      <w:tr w14:paraId="4A4547B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8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A2F48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szCs w:val="20"/>
                <w:lang w:val="en-US" w:eastAsia="zh-CN"/>
              </w:rPr>
              <w:t>《</w:t>
            </w: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热部图像检测基本信息及API接入</w:t>
            </w:r>
            <w:r>
              <w:rPr>
                <w:rFonts w:hint="eastAsia" w:cs="Times New Roman"/>
                <w:b w:val="0"/>
                <w:bCs w:val="0"/>
                <w:color w:val="000000"/>
                <w:szCs w:val="20"/>
                <w:lang w:val="en-US" w:eastAsia="zh-CN"/>
              </w:rPr>
              <w:t>》</w:t>
            </w:r>
          </w:p>
        </w:tc>
        <w:tc>
          <w:tcPr>
            <w:tcW w:w="150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2DB0E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专业输入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50B3D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热部输入、输出和环境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6FC5D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识别专业语义矛盾并列为阻断项。</w:t>
            </w:r>
          </w:p>
        </w:tc>
      </w:tr>
      <w:tr w14:paraId="25C53CF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8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3DB5A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szCs w:val="20"/>
                <w:lang w:val="en-US" w:eastAsia="zh-CN"/>
              </w:rPr>
              <w:t>《</w:t>
            </w: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X射线基本信息及API接入</w:t>
            </w:r>
            <w:r>
              <w:rPr>
                <w:rFonts w:hint="eastAsia" w:cs="Times New Roman"/>
                <w:b w:val="0"/>
                <w:bCs w:val="0"/>
                <w:color w:val="000000"/>
                <w:szCs w:val="20"/>
                <w:lang w:val="en-US" w:eastAsia="zh-CN"/>
              </w:rPr>
              <w:t>》</w:t>
            </w:r>
          </w:p>
        </w:tc>
        <w:tc>
          <w:tcPr>
            <w:tcW w:w="150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C6878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专业输入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0784B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OPI成组输入、状态和位移测量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89D09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形成X射线专业流程。</w:t>
            </w:r>
          </w:p>
        </w:tc>
      </w:tr>
      <w:tr w14:paraId="37B9E8A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8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1B128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断口金相基本信息及API接入</w:t>
            </w:r>
            <w:r>
              <w:rPr>
                <w:rFonts w:hint="eastAsia" w:cs="Times New Roman"/>
                <w:b w:val="0"/>
                <w:bCs w:val="0"/>
                <w:color w:val="000000"/>
                <w:szCs w:val="20"/>
                <w:lang w:val="en-US" w:eastAsia="zh-CN"/>
              </w:rPr>
              <w:t>》</w:t>
            </w:r>
          </w:p>
        </w:tc>
        <w:tc>
          <w:tcPr>
            <w:tcW w:w="150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B9C407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专业输入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3BFEF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断口和金相分类、分割、定量和环境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B5512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形成两项专业流程和兼容任务。</w:t>
            </w:r>
          </w:p>
        </w:tc>
      </w:tr>
      <w:tr w14:paraId="3844EA7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8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A14F7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软件适配统一要求通知0819</w:t>
            </w:r>
          </w:p>
        </w:tc>
        <w:tc>
          <w:tcPr>
            <w:tcW w:w="150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95CDC3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历史过程要求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76081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客户端/服务器双形态和兼容评估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03121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保留原则；版本与最终环境不一致处以后续基线为准。</w:t>
            </w:r>
          </w:p>
        </w:tc>
      </w:tr>
      <w:tr w14:paraId="61DF755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8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26C3F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架构原型及会议讨论材料</w:t>
            </w:r>
          </w:p>
        </w:tc>
        <w:tc>
          <w:tcPr>
            <w:tcW w:w="150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23FC7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设计参考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90F12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功能、逻辑、部署和交互思路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07393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形成架构图和模块边界。</w:t>
            </w:r>
          </w:p>
        </w:tc>
      </w:tr>
    </w:tbl>
    <w:p w14:paraId="2E5F2789">
      <w:pPr>
        <w:pStyle w:val="81"/>
        <w:spacing w:after="0"/>
        <w:rPr>
          <w:b w:val="0"/>
          <w:bCs w:val="0"/>
        </w:rPr>
      </w:pPr>
    </w:p>
    <w:p w14:paraId="1105AD8F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待落实事项</w:t>
      </w:r>
    </w:p>
    <w:p w14:paraId="4CDFF5AB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待落实事项清单</w:t>
      </w:r>
    </w:p>
    <w:tbl>
      <w:tblPr>
        <w:tblStyle w:val="27"/>
        <w:tblW w:w="8304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7"/>
        <w:gridCol w:w="1565"/>
        <w:gridCol w:w="2076"/>
        <w:gridCol w:w="2076"/>
      </w:tblGrid>
      <w:tr w14:paraId="427A457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8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B93C0D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事项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94C8E5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责任方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A2CAA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最迟节点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32BEAB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未完成影响</w:t>
            </w:r>
          </w:p>
        </w:tc>
      </w:tr>
      <w:tr w14:paraId="369D201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8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C396E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热部工具正式对象、标签和输出Schema确认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0A5C6E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业务+热部团队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0963B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G0第1周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F0164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无法设计页面和适配器。</w:t>
            </w:r>
          </w:p>
        </w:tc>
      </w:tr>
      <w:tr w14:paraId="5BA9F13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8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169DD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荧光统一API、CPU-only和NFC适配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CD07A8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荧光团队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15841B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G0结束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7EAC3A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不能进入正式联调。</w:t>
            </w:r>
          </w:p>
        </w:tc>
      </w:tr>
      <w:tr w14:paraId="2E92474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8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AEF92E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孔探API服务化、Linux/NFC验证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5A08D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孔探团队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BB6D18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G0结束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731CD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只能使用Mock。</w:t>
            </w:r>
          </w:p>
        </w:tc>
      </w:tr>
      <w:tr w14:paraId="2802289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8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EF085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X射线OPI解析、参考/目标规则和标定方法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000450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X射线团队+业务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CDAED8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G0结束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547ED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无法验证位移结果。</w:t>
            </w:r>
          </w:p>
        </w:tc>
      </w:tr>
      <w:tr w14:paraId="7268264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8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EDE4B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断口单图/成组输入、OCR离线化和计算依据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039D77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断口团队+业务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284B1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G0结束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3B415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离线部署和结果可信性受阻。</w:t>
            </w:r>
          </w:p>
        </w:tc>
      </w:tr>
      <w:tr w14:paraId="025ACE7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8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4E64F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金相前景相、像素标定和批量模式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C5006E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金相团队+业务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4DAFB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G0结束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F9D563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定量结果语义不稳定。</w:t>
            </w:r>
          </w:p>
        </w:tc>
      </w:tr>
      <w:tr w14:paraId="1C43B0D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8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DA66A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六项专业质量阈值和固定测试集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34AE27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业务+工具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964D5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G2验收前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9E61A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不能判定专业质量。</w:t>
            </w:r>
          </w:p>
        </w:tc>
      </w:tr>
      <w:tr w14:paraId="539A1A4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8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BF282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服务器、存储、端口、RPO/RTO和告警渠道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FA4E0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运维+建设方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361061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G1开始前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253BD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开发和部署环境不确定。</w:t>
            </w:r>
          </w:p>
        </w:tc>
      </w:tr>
      <w:tr w14:paraId="5FE2FC9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8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6AF37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Dify/RAGFlow/基础模型接口与并发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90E8E5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平台团队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B17D5C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G1开始前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92704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智能助手和知识能力不能联调。</w:t>
            </w:r>
          </w:p>
        </w:tc>
      </w:tr>
      <w:tr w14:paraId="261C6FA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87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C72EC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报告模板、审批角色和数据保留期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9FC0F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业务+管理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F91D37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G2开发前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D71B0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报告和权限规则无法冻结。</w:t>
            </w:r>
          </w:p>
        </w:tc>
      </w:tr>
    </w:tbl>
    <w:p w14:paraId="39135F4A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变更管理</w:t>
      </w:r>
    </w:p>
    <w:p w14:paraId="388EB0B7">
      <w:pPr>
        <w:pStyle w:val="81"/>
        <w:rPr>
          <w:b w:val="0"/>
          <w:bCs w:val="0"/>
        </w:rPr>
      </w:pPr>
      <w:r>
        <w:rPr>
          <w:b w:val="0"/>
          <w:bCs w:val="0"/>
        </w:rPr>
        <w:t>实施变更登记原因、范围、API/数据兼容、环境、资源、工期和验收影响，并同步更新方案、OpenAPI、数据字典、Schema和验收用例的版本号。专业阈值、输入关系、部署基线和本期范围的变化必须经对应责任方确认；不得以“待落实”名义把已确定功能移出本期。</w:t>
      </w:r>
    </w:p>
    <w:p w14:paraId="46941C70">
      <w:pPr>
        <w:pStyle w:val="81"/>
        <w:rPr>
          <w:b w:val="0"/>
          <w:bCs w:val="0"/>
        </w:rPr>
      </w:pPr>
      <w:r>
        <w:rPr>
          <w:b w:val="0"/>
          <w:bCs w:val="0"/>
        </w:rPr>
        <w:t>文件冲突时按“本方案及正式变更文件 → 经确认的专项技术规范 → 最新专业工具技术资料 → 会议纪要及过程材料 → 历史通知”的顺序执行。工具填报值、估算值和设计预期属于技术输入，最终以目标环境实测和联合验收记录为准。</w:t>
      </w:r>
    </w:p>
    <w:p w14:paraId="53C93966">
      <w:pPr>
        <w:pStyle w:val="80"/>
        <w:keepNext/>
        <w:keepLines/>
        <w:rPr>
          <w:b w:val="0"/>
          <w:bCs w:val="0"/>
        </w:rPr>
      </w:pPr>
      <w:bookmarkStart w:id="79" w:name="_Toc8591"/>
      <w:r>
        <w:rPr>
          <w:b w:val="0"/>
          <w:bCs w:val="0"/>
        </w:rPr>
        <w:t>详细技术实施基线</w:t>
      </w:r>
      <w:bookmarkEnd w:id="79"/>
    </w:p>
    <w:p w14:paraId="13901B4F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统一任务状态机</w:t>
      </w:r>
    </w:p>
    <w:p w14:paraId="01211B6B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任务执行状态</w:t>
      </w:r>
    </w:p>
    <w:tbl>
      <w:tblPr>
        <w:tblStyle w:val="27"/>
        <w:tblW w:w="8307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3810"/>
        <w:gridCol w:w="2769"/>
      </w:tblGrid>
      <w:tr w14:paraId="0993FDC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2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F186AC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状态</w:t>
            </w:r>
          </w:p>
        </w:tc>
        <w:tc>
          <w:tcPr>
            <w:tcW w:w="381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0204C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含义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A83C23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允许转移</w:t>
            </w:r>
          </w:p>
        </w:tc>
      </w:tr>
      <w:tr w14:paraId="63508E0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F9B295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QUEUED</w:t>
            </w:r>
          </w:p>
        </w:tc>
        <w:tc>
          <w:tcPr>
            <w:tcW w:w="381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8C63E9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已校验并入队，尚未被执行器领取。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9B36BD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RUNNING、CANCELLED、FAILED、RECONCILING</w:t>
            </w:r>
          </w:p>
        </w:tc>
      </w:tr>
      <w:tr w14:paraId="150F9D9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D3D258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RUNNING</w:t>
            </w:r>
          </w:p>
        </w:tc>
        <w:tc>
          <w:tcPr>
            <w:tcW w:w="381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9FCFE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工具已受理或正在执行。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0B6AF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SUCCEEDED、PARTIAL_SUCCEEDED、FAILED、CANCEL_REQUESTED、RECONCILING</w:t>
            </w:r>
          </w:p>
        </w:tc>
      </w:tr>
      <w:tr w14:paraId="59EA989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3D3331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CANCEL_REQUESTED</w:t>
            </w:r>
          </w:p>
        </w:tc>
        <w:tc>
          <w:tcPr>
            <w:tcW w:w="381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A60707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平台已请求取消，等待工具确认。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76AFE6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CANCELLED、SUCCEEDED、FAILED、RECONCILING</w:t>
            </w:r>
          </w:p>
        </w:tc>
      </w:tr>
      <w:tr w14:paraId="6A1540A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10EBCA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RECONCILING</w:t>
            </w:r>
          </w:p>
        </w:tc>
        <w:tc>
          <w:tcPr>
            <w:tcW w:w="381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9ABB8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受理事实或最终状态不明，正在对账。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C101A2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RUNNING、SUCCEEDED、PARTIAL_SUCCEEDED、FAILED、CANCELLED</w:t>
            </w:r>
          </w:p>
        </w:tc>
      </w:tr>
      <w:tr w14:paraId="5294950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EF197B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SUCCEEDED</w:t>
            </w:r>
          </w:p>
        </w:tc>
        <w:tc>
          <w:tcPr>
            <w:tcW w:w="381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566614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所有item成功并完成结果校验。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E13E4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终态</w:t>
            </w:r>
          </w:p>
        </w:tc>
      </w:tr>
      <w:tr w14:paraId="37F90FB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25CEF7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PARTIAL_SUCCEEDED</w:t>
            </w:r>
          </w:p>
        </w:tc>
        <w:tc>
          <w:tcPr>
            <w:tcW w:w="381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BE1BD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至少一个item成功、至少一个失败。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91310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终态；失败项可新建重试任务</w:t>
            </w:r>
          </w:p>
        </w:tc>
      </w:tr>
      <w:tr w14:paraId="233F8EB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A54AB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FAILED</w:t>
            </w:r>
          </w:p>
        </w:tc>
        <w:tc>
          <w:tcPr>
            <w:tcW w:w="381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170F4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未形成可用成功项或平台无法完成处理。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8AD9EF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终态；允许创建retry_of任务</w:t>
            </w:r>
          </w:p>
        </w:tc>
      </w:tr>
      <w:tr w14:paraId="264C21F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530171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CANCELLED</w:t>
            </w:r>
          </w:p>
        </w:tc>
        <w:tc>
          <w:tcPr>
            <w:tcW w:w="3810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EC4388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工具确认停止且无应保留成功结果。</w:t>
            </w:r>
          </w:p>
        </w:tc>
        <w:tc>
          <w:tcPr>
            <w:tcW w:w="2769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5D40B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终态</w:t>
            </w:r>
          </w:p>
        </w:tc>
      </w:tr>
    </w:tbl>
    <w:p w14:paraId="23553ABF">
      <w:pPr>
        <w:pStyle w:val="81"/>
        <w:spacing w:after="0"/>
        <w:rPr>
          <w:b w:val="0"/>
          <w:bCs w:val="0"/>
        </w:rPr>
      </w:pPr>
    </w:p>
    <w:p w14:paraId="4AA572F3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权限编码与数据范围</w:t>
      </w:r>
    </w:p>
    <w:p w14:paraId="6627DD0A">
      <w:pPr>
        <w:pStyle w:val="81"/>
        <w:rPr>
          <w:b w:val="0"/>
          <w:bCs w:val="0"/>
        </w:rPr>
      </w:pPr>
      <w:r>
        <w:rPr>
          <w:b w:val="0"/>
          <w:bCs w:val="0"/>
        </w:rPr>
        <w:t>操作权限采用点分编码，例如task.detect.create、task.read、result.review、report.approve、annotation.edit、dataset.freeze、training.submit、model.publish、model.rollback、knowledge.read、skill.execute、rbac.manage和audit.read。数据范围至少支持self、project、organization、all，并叠加tool_id专业范围。</w:t>
      </w:r>
    </w:p>
    <w:p w14:paraId="32006AD4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文件与版本治理</w:t>
      </w:r>
    </w:p>
    <w:p w14:paraId="5898C98F">
      <w:pPr>
        <w:pStyle w:val="113"/>
        <w:numPr>
          <w:ilvl w:val="0"/>
          <w:numId w:val="28"/>
        </w:numPr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>文件上传未完成时不生成可执行Asset；完成时校验大小、类型和哈希，失败清理临时对象。</w:t>
      </w:r>
    </w:p>
    <w:p w14:paraId="566486D5">
      <w:pPr>
        <w:pStyle w:val="113"/>
        <w:numPr>
          <w:ilvl w:val="0"/>
          <w:numId w:val="28"/>
        </w:numPr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>历史任务引用的文件、Schema、模型、参数模板和报告模板不可原地覆盖。</w:t>
      </w:r>
    </w:p>
    <w:p w14:paraId="626FA9D0">
      <w:pPr>
        <w:pStyle w:val="113"/>
        <w:numPr>
          <w:ilvl w:val="0"/>
          <w:numId w:val="28"/>
        </w:numPr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>工具、模型、数据集、知识文档和报告均保存独立版本与哈希；展示和导出引用明确版本。</w:t>
      </w:r>
    </w:p>
    <w:p w14:paraId="0382452D">
      <w:pPr>
        <w:pStyle w:val="113"/>
        <w:numPr>
          <w:ilvl w:val="0"/>
          <w:numId w:val="28"/>
        </w:numPr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>删除前检查引用和保留策略；审计和批准快照按制度保存。</w:t>
      </w:r>
    </w:p>
    <w:p w14:paraId="444D33B9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初始运行参数</w:t>
      </w:r>
    </w:p>
    <w:p w14:paraId="7433B4F4">
      <w:pPr>
        <w:pStyle w:val="81"/>
        <w:rPr>
          <w:b w:val="0"/>
          <w:bCs w:val="0"/>
        </w:rPr>
      </w:pPr>
      <w:r>
        <w:rPr>
          <w:b w:val="0"/>
          <w:bCs w:val="0"/>
        </w:rPr>
        <w:t>初始建议为状态轮询2秒并退避至30秒、心跳10秒、租约60秒、网络重试最多3次并指数退避、连接超时10秒、受理响应30秒。专业执行和训练超时按工具配置，不统一设为短时HTTP超时。以上均在G0/G1压测后冻结。</w:t>
      </w:r>
    </w:p>
    <w:p w14:paraId="3810A6BD">
      <w:pPr>
        <w:pStyle w:val="86"/>
        <w:keepNext/>
        <w:keepLines/>
        <w:rPr>
          <w:b w:val="0"/>
          <w:bCs w:val="0"/>
        </w:rPr>
      </w:pPr>
      <w:r>
        <w:rPr>
          <w:b w:val="0"/>
          <w:bCs w:val="0"/>
        </w:rPr>
        <w:t>最终交付物</w:t>
      </w:r>
    </w:p>
    <w:p w14:paraId="20C114CC">
      <w:pPr>
        <w:pStyle w:val="100"/>
        <w:keepNext/>
        <w:keepLines/>
        <w:rPr>
          <w:b w:val="0"/>
          <w:bCs w:val="0"/>
        </w:rPr>
      </w:pPr>
      <w:r>
        <w:rPr>
          <w:b w:val="0"/>
          <w:bCs w:val="0"/>
        </w:rPr>
        <w:t>最终交付清单</w:t>
      </w:r>
    </w:p>
    <w:tbl>
      <w:tblPr>
        <w:tblStyle w:val="27"/>
        <w:tblW w:w="8306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605"/>
      </w:tblGrid>
      <w:tr w14:paraId="6D8024D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8CAD2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类别</w:t>
            </w:r>
          </w:p>
        </w:tc>
        <w:tc>
          <w:tcPr>
            <w:tcW w:w="660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DE1E56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交付内容</w:t>
            </w:r>
          </w:p>
        </w:tc>
      </w:tr>
      <w:tr w14:paraId="553823D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14FAA6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代码与构建</w:t>
            </w:r>
          </w:p>
        </w:tc>
        <w:tc>
          <w:tcPr>
            <w:tcW w:w="660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8DBCD5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平台源码、构建说明、前后端服务、任务执行器、六适配器、采集连接器。</w:t>
            </w:r>
          </w:p>
        </w:tc>
      </w:tr>
      <w:tr w14:paraId="3DFD1D6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57F29F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数据与接口</w:t>
            </w:r>
          </w:p>
        </w:tc>
        <w:tc>
          <w:tcPr>
            <w:tcW w:w="660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8C6E8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数据库模型/迁移/回退、OpenAPI、数据字典、参数与结果Schema、权限目录。</w:t>
            </w:r>
          </w:p>
        </w:tc>
      </w:tr>
      <w:tr w14:paraId="28D927E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8D6A3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专业运行包</w:t>
            </w:r>
          </w:p>
        </w:tc>
        <w:tc>
          <w:tcPr>
            <w:tcW w:w="660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9E9B01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六工具离线包、依赖锁、模型及哈希、配置、启动停止和健康检查。</w:t>
            </w:r>
          </w:p>
        </w:tc>
      </w:tr>
      <w:tr w14:paraId="110E466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194859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业务资料</w:t>
            </w:r>
          </w:p>
        </w:tc>
        <w:tc>
          <w:tcPr>
            <w:tcW w:w="660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010DAC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样例、期望结果、报告模板、标签定义、测试集和专业确认记录。</w:t>
            </w:r>
          </w:p>
        </w:tc>
      </w:tr>
      <w:tr w14:paraId="63A73F9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2E0814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部署运维</w:t>
            </w:r>
          </w:p>
        </w:tc>
        <w:tc>
          <w:tcPr>
            <w:tcW w:w="660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4484B0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安装脚本、离线依赖、端口账号、日志监控、备份恢复、故障处置和培训材料。</w:t>
            </w:r>
          </w:p>
        </w:tc>
      </w:tr>
      <w:tr w14:paraId="7275BF1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6C59D2">
            <w:pPr>
              <w:pStyle w:val="112"/>
              <w:suppressAutoHyphens/>
              <w:bidi w:val="0"/>
              <w:snapToGrid/>
              <w:spacing w:before="0" w:after="0" w:line="300" w:lineRule="auto"/>
              <w:jc w:val="center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验收证据</w:t>
            </w:r>
          </w:p>
        </w:tc>
        <w:tc>
          <w:tcPr>
            <w:tcW w:w="6605" w:type="dxa"/>
            <w:tcBorders>
              <w:tl2br w:val="nil"/>
              <w:tr2bl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0075FB">
            <w:pPr>
              <w:pStyle w:val="112"/>
              <w:suppressAutoHyphens/>
              <w:bidi w:val="0"/>
              <w:snapToGrid/>
              <w:spacing w:before="0" w:after="0" w:line="300" w:lineRule="auto"/>
              <w:jc w:val="left"/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color w:val="000000"/>
                <w:szCs w:val="20"/>
                <w:lang w:val="en-US" w:eastAsia="zh-CN"/>
              </w:rPr>
              <w:t>功能、专业质量、性能、稳定性、安全、离线安装和恢复演练记录。</w:t>
            </w:r>
          </w:p>
        </w:tc>
      </w:tr>
    </w:tbl>
    <w:p w14:paraId="020DE437">
      <w:pPr>
        <w:pStyle w:val="81"/>
        <w:spacing w:after="0"/>
        <w:rPr>
          <w:b w:val="0"/>
          <w:bCs w:val="0"/>
        </w:rPr>
      </w:pPr>
    </w:p>
    <w:sectPr>
      <w:headerReference r:id="rId10" w:type="default"/>
      <w:footerReference r:id="rId12" w:type="default"/>
      <w:headerReference r:id="rId11" w:type="even"/>
      <w:footerReference r:id="rId13" w:type="even"/>
      <w:pgSz w:w="11906" w:h="16838"/>
      <w:pgMar w:top="1440" w:right="1800" w:bottom="1440" w:left="1800" w:header="425" w:footer="284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1B2058">
    <w:pPr>
      <w:pStyle w:val="18"/>
      <w:snapToGrid/>
      <w:spacing w:line="240" w:lineRule="auto"/>
      <w:rPr>
        <w:rFonts w:hint="eastAsia"/>
      </w:rPr>
    </w:pPr>
    <w:r>
      <w:rPr>
        <w:rFonts w:hint="eastAsia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5855B">
    <w:pPr>
      <w:pStyle w:val="18"/>
      <w:rPr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7"/>
      <w:tblW w:w="0" w:type="auto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single" w:color="auto" w:sz="4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881"/>
      <w:gridCol w:w="1641"/>
    </w:tblGrid>
    <w:tr w14:paraId="7783B4A6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7848" w:type="dxa"/>
          <w:noWrap w:val="0"/>
          <w:vAlign w:val="top"/>
        </w:tcPr>
        <w:p w14:paraId="12B798C0"/>
      </w:tc>
      <w:tc>
        <w:tcPr>
          <w:tcW w:w="1835" w:type="dxa"/>
          <w:noWrap w:val="0"/>
          <w:vAlign w:val="top"/>
        </w:tcPr>
        <w:p w14:paraId="197DBD00">
          <w:pPr>
            <w:pStyle w:val="18"/>
            <w:tabs>
              <w:tab w:val="clear" w:pos="4153"/>
              <w:tab w:val="clear" w:pos="8306"/>
            </w:tabs>
            <w:jc w:val="right"/>
            <w:rPr>
              <w:rFonts w:hint="eastAsia"/>
            </w:rPr>
          </w:pPr>
          <w:r>
            <w:rPr>
              <w:rStyle w:val="31"/>
            </w:rPr>
            <w:fldChar w:fldCharType="begin"/>
          </w:r>
          <w:r>
            <w:rPr>
              <w:rStyle w:val="31"/>
            </w:rPr>
            <w:instrText xml:space="preserve"> PAGE </w:instrText>
          </w:r>
          <w:r>
            <w:rPr>
              <w:rStyle w:val="31"/>
            </w:rPr>
            <w:fldChar w:fldCharType="separate"/>
          </w:r>
          <w:r>
            <w:rPr>
              <w:rStyle w:val="31"/>
            </w:rPr>
            <w:t>4</w:t>
          </w:r>
          <w:r>
            <w:rPr>
              <w:rStyle w:val="31"/>
            </w:rPr>
            <w:fldChar w:fldCharType="end"/>
          </w:r>
        </w:p>
      </w:tc>
    </w:tr>
  </w:tbl>
  <w:p w14:paraId="2591DE25">
    <w:pPr>
      <w:pStyle w:val="18"/>
      <w:rPr>
        <w:rFonts w:hint="eastAsia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7"/>
      <w:tblW w:w="0" w:type="auto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single" w:color="auto" w:sz="4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881"/>
      <w:gridCol w:w="1641"/>
    </w:tblGrid>
    <w:tr w14:paraId="1BDB3C03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7848" w:type="dxa"/>
          <w:noWrap w:val="0"/>
          <w:vAlign w:val="top"/>
        </w:tcPr>
        <w:p w14:paraId="53135E31"/>
      </w:tc>
      <w:tc>
        <w:tcPr>
          <w:tcW w:w="1835" w:type="dxa"/>
          <w:noWrap w:val="0"/>
          <w:vAlign w:val="top"/>
        </w:tcPr>
        <w:p w14:paraId="60897DE8">
          <w:pPr>
            <w:pStyle w:val="18"/>
            <w:tabs>
              <w:tab w:val="clear" w:pos="4153"/>
              <w:tab w:val="clear" w:pos="8306"/>
            </w:tabs>
            <w:jc w:val="right"/>
            <w:rPr>
              <w:rFonts w:hint="eastAsia"/>
            </w:rPr>
          </w:pPr>
          <w:r>
            <w:rPr>
              <w:rStyle w:val="31"/>
            </w:rPr>
            <w:fldChar w:fldCharType="begin"/>
          </w:r>
          <w:r>
            <w:rPr>
              <w:rStyle w:val="31"/>
            </w:rPr>
            <w:instrText xml:space="preserve"> PAGE </w:instrText>
          </w:r>
          <w:r>
            <w:rPr>
              <w:rStyle w:val="31"/>
            </w:rPr>
            <w:fldChar w:fldCharType="separate"/>
          </w:r>
          <w:r>
            <w:rPr>
              <w:rStyle w:val="31"/>
            </w:rPr>
            <w:t>4</w:t>
          </w:r>
          <w:r>
            <w:rPr>
              <w:rStyle w:val="31"/>
            </w:rPr>
            <w:fldChar w:fldCharType="end"/>
          </w:r>
        </w:p>
      </w:tc>
    </w:tr>
  </w:tbl>
  <w:p w14:paraId="3AA646BB">
    <w:pPr>
      <w:pStyle w:val="18"/>
      <w:rPr>
        <w:rFonts w:hint="eastAsia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0072B8">
    <w:pPr>
      <w:pStyle w:val="19"/>
      <w:pBdr>
        <w:bottom w:val="none" w:color="auto" w:sz="0" w:space="0"/>
      </w:pBdr>
      <w:ind w:firstLine="360"/>
      <w:jc w:val="right"/>
      <w:rPr>
        <w:rFonts w:hint="eastAsia" w:hAnsi="宋体"/>
      </w:rPr>
    </w:pPr>
    <w:r>
      <w:rPr>
        <w:rFonts w:hint="eastAsia" w:hAnsi="宋体"/>
      </w:rPr>
      <w:t>GS01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3493B3">
    <w:pPr>
      <w:pStyle w:val="19"/>
      <w:pBdr>
        <w:bottom w:val="none" w:color="auto" w:sz="0" w:space="0"/>
      </w:pBdr>
      <w:adjustRightInd w:val="0"/>
      <w:spacing w:line="240" w:lineRule="atLeast"/>
      <w:jc w:val="right"/>
      <w:rPr>
        <w:rFonts w:hint="eastAsia" w:hAnsi="宋体"/>
      </w:rPr>
    </w:pPr>
    <w:r>
      <w:rPr>
        <w:rFonts w:hint="eastAsia" w:hAnsi="宋体"/>
      </w:rPr>
      <w:t>GS02</w:t>
    </w:r>
  </w:p>
  <w:p w14:paraId="4F7FD7BF">
    <w:pPr>
      <w:pBdr>
        <w:bottom w:val="single" w:color="auto" w:sz="6" w:space="1"/>
      </w:pBdr>
      <w:adjustRightInd w:val="0"/>
      <w:snapToGrid w:val="0"/>
      <w:spacing w:line="240" w:lineRule="atLeast"/>
      <w:jc w:val="center"/>
      <w:rPr>
        <w:rFonts w:hint="eastAsia"/>
        <w:sz w:val="21"/>
        <w:szCs w:val="21"/>
      </w:rPr>
    </w:pPr>
    <w:r>
      <w:t>工业图像智能检测智能体平台建设方案</w:t>
    </w:r>
  </w:p>
  <w:p w14:paraId="05C56144">
    <w:pPr>
      <w:adjustRightInd w:val="0"/>
      <w:snapToGrid w:val="0"/>
      <w:spacing w:line="0" w:lineRule="atLeast"/>
      <w:jc w:val="center"/>
      <w:rPr>
        <w:rFonts w:hint="eastAsia"/>
        <w:vanish/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787EDC">
    <w:pPr>
      <w:pStyle w:val="19"/>
      <w:pBdr>
        <w:bottom w:val="none" w:color="auto" w:sz="0" w:space="0"/>
      </w:pBdr>
      <w:adjustRightInd w:val="0"/>
      <w:spacing w:line="240" w:lineRule="atLeast"/>
      <w:jc w:val="right"/>
      <w:rPr>
        <w:rFonts w:hint="eastAsia" w:hAnsi="宋体"/>
      </w:rPr>
    </w:pPr>
    <w:r>
      <w:rPr>
        <w:rFonts w:hint="eastAsia" w:hAnsi="宋体"/>
      </w:rPr>
      <w:t>GS03</w:t>
    </w:r>
  </w:p>
  <w:p w14:paraId="09B7F411">
    <w:pPr>
      <w:adjustRightInd w:val="0"/>
      <w:snapToGrid w:val="0"/>
      <w:spacing w:line="0" w:lineRule="atLeast"/>
      <w:jc w:val="center"/>
      <w:rPr>
        <w:rFonts w:hint="eastAsia"/>
        <w:vanish/>
        <w:sz w:val="2"/>
        <w:szCs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E5C975">
    <w:pPr>
      <w:adjustRightInd w:val="0"/>
      <w:snapToGrid w:val="0"/>
      <w:spacing w:line="0" w:lineRule="atLeast"/>
      <w:jc w:val="center"/>
      <w:rPr>
        <w:rFonts w:hint="eastAsia"/>
        <w:vanish/>
        <w:sz w:val="2"/>
        <w:szCs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CACE41">
    <w:pPr>
      <w:pStyle w:val="19"/>
      <w:pBdr>
        <w:bottom w:val="none" w:color="auto" w:sz="0" w:space="0"/>
      </w:pBdr>
      <w:adjustRightInd w:val="0"/>
      <w:spacing w:line="240" w:lineRule="atLeast"/>
      <w:jc w:val="right"/>
      <w:rPr>
        <w:rFonts w:hint="eastAsia" w:hAnsi="宋体"/>
      </w:rPr>
    </w:pPr>
    <w:r>
      <w:rPr>
        <w:rFonts w:hint="eastAsia" w:hAnsi="宋体"/>
      </w:rPr>
      <w:t>GS04</w:t>
    </w:r>
  </w:p>
  <w:p w14:paraId="20FB0F1B">
    <w:pPr>
      <w:adjustRightInd w:val="0"/>
      <w:snapToGrid w:val="0"/>
      <w:spacing w:line="0" w:lineRule="atLeast"/>
      <w:jc w:val="center"/>
      <w:rPr>
        <w:rFonts w:hint="eastAsia"/>
        <w:vanish/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F2ACE7"/>
    <w:multiLevelType w:val="singleLevel"/>
    <w:tmpl w:val="82F2ACE7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435884F"/>
    <w:multiLevelType w:val="singleLevel"/>
    <w:tmpl w:val="B435884F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C022CF46"/>
    <w:multiLevelType w:val="singleLevel"/>
    <w:tmpl w:val="C022CF46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0BDDA44A"/>
    <w:multiLevelType w:val="singleLevel"/>
    <w:tmpl w:val="0BDDA44A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14E65E3A"/>
    <w:multiLevelType w:val="multilevel"/>
    <w:tmpl w:val="14E65E3A"/>
    <w:lvl w:ilvl="0" w:tentative="0">
      <w:start w:val="1"/>
      <w:numFmt w:val="none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pStyle w:val="35"/>
      <w:suff w:val="nothing"/>
      <w:lvlText w:val="%1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8"/>
        <w:szCs w:val="28"/>
      </w:rPr>
    </w:lvl>
    <w:lvl w:ilvl="2" w:tentative="0">
      <w:start w:val="1"/>
      <w:numFmt w:val="decimal"/>
      <w:pStyle w:val="36"/>
      <w:suff w:val="nothing"/>
      <w:lvlText w:val="%1%2.%3　"/>
      <w:lvlJc w:val="left"/>
      <w:pPr>
        <w:ind w:left="0" w:firstLine="0"/>
      </w:pPr>
      <w:rPr>
        <w:rFonts w:hint="eastAsia" w:ascii="宋体" w:hAnsi="Times New Roman" w:eastAsia="宋体"/>
        <w:b w:val="0"/>
        <w:i w:val="0"/>
        <w:sz w:val="28"/>
        <w:szCs w:val="28"/>
      </w:rPr>
    </w:lvl>
    <w:lvl w:ilvl="3" w:tentative="0">
      <w:start w:val="1"/>
      <w:numFmt w:val="decimal"/>
      <w:pStyle w:val="37"/>
      <w:suff w:val="nothing"/>
      <w:lvlText w:val="%1%2.%3.%4　"/>
      <w:lvlJc w:val="left"/>
      <w:pPr>
        <w:ind w:left="0" w:firstLine="0"/>
      </w:pPr>
      <w:rPr>
        <w:rFonts w:hint="eastAsia" w:ascii="宋体" w:hAnsi="Times New Roman" w:eastAsia="宋体"/>
        <w:b w:val="0"/>
        <w:i w:val="0"/>
        <w:sz w:val="28"/>
        <w:szCs w:val="28"/>
      </w:rPr>
    </w:lvl>
    <w:lvl w:ilvl="4" w:tentative="0">
      <w:start w:val="1"/>
      <w:numFmt w:val="decimal"/>
      <w:pStyle w:val="38"/>
      <w:suff w:val="nothing"/>
      <w:lvlText w:val="%1%2.%3.%4.%5　"/>
      <w:lvlJc w:val="left"/>
      <w:pPr>
        <w:ind w:left="0" w:firstLine="0"/>
      </w:pPr>
      <w:rPr>
        <w:rFonts w:hint="eastAsia" w:ascii="宋体" w:hAnsi="Times New Roman" w:eastAsia="宋体"/>
        <w:b w:val="0"/>
        <w:i w:val="0"/>
        <w:sz w:val="28"/>
        <w:szCs w:val="28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5">
    <w:nsid w:val="249B1305"/>
    <w:multiLevelType w:val="multilevel"/>
    <w:tmpl w:val="249B1305"/>
    <w:lvl w:ilvl="0" w:tentative="0">
      <w:start w:val="1"/>
      <w:numFmt w:val="upperLetter"/>
      <w:suff w:val="nothing"/>
      <w:lvlText w:val="附录%1  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8"/>
        <w:szCs w:val="28"/>
      </w:rPr>
    </w:lvl>
    <w:lvl w:ilvl="1" w:tentative="0">
      <w:start w:val="1"/>
      <w:numFmt w:val="decimal"/>
      <w:pStyle w:val="51"/>
      <w:suff w:val="nothing"/>
      <w:lvlText w:val="%1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napToGrid/>
        <w:spacing w:val="0"/>
        <w:w w:val="100"/>
        <w:kern w:val="21"/>
        <w:sz w:val="28"/>
        <w:szCs w:val="28"/>
      </w:rPr>
    </w:lvl>
    <w:lvl w:ilvl="2" w:tentative="0">
      <w:start w:val="1"/>
      <w:numFmt w:val="decimal"/>
      <w:pStyle w:val="48"/>
      <w:suff w:val="nothing"/>
      <w:lvlText w:val="%1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8"/>
        <w:szCs w:val="28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8"/>
        <w:szCs w:val="28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8"/>
        <w:szCs w:val="28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258A6A89"/>
    <w:multiLevelType w:val="multilevel"/>
    <w:tmpl w:val="258A6A89"/>
    <w:lvl w:ilvl="0" w:tentative="0">
      <w:start w:val="1"/>
      <w:numFmt w:val="lowerLetter"/>
      <w:pStyle w:val="44"/>
      <w:lvlText w:val="    %1)  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>
    <w:nsid w:val="2C71374A"/>
    <w:multiLevelType w:val="multilevel"/>
    <w:tmpl w:val="2C71374A"/>
    <w:lvl w:ilvl="0" w:tentative="0">
      <w:start w:val="1"/>
      <w:numFmt w:val="decimal"/>
      <w:pStyle w:val="114"/>
      <w:lvlText w:val="%1)"/>
      <w:lvlJc w:val="left"/>
      <w:pPr>
        <w:ind w:left="148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1A712DA"/>
    <w:multiLevelType w:val="multilevel"/>
    <w:tmpl w:val="31A712DA"/>
    <w:lvl w:ilvl="0" w:tentative="0">
      <w:start w:val="1"/>
      <w:numFmt w:val="upperLetter"/>
      <w:pStyle w:val="91"/>
      <w:suff w:val="space"/>
      <w:lvlText w:val="附 录%1 "/>
      <w:lvlJc w:val="left"/>
      <w:pPr>
        <w:tabs>
          <w:tab w:val="left" w:pos="425"/>
        </w:tabs>
        <w:ind w:left="0" w:firstLine="0"/>
      </w:pPr>
    </w:lvl>
    <w:lvl w:ilvl="1" w:tentative="0">
      <w:start w:val="1"/>
      <w:numFmt w:val="decimal"/>
      <w:pStyle w:val="94"/>
      <w:suff w:val="space"/>
      <w:lvlText w:val="%1.%2 "/>
      <w:lvlJc w:val="left"/>
      <w:pPr>
        <w:tabs>
          <w:tab w:val="left" w:pos="851"/>
        </w:tabs>
        <w:ind w:left="0" w:firstLine="0"/>
      </w:pPr>
    </w:lvl>
    <w:lvl w:ilvl="2" w:tentative="0">
      <w:start w:val="1"/>
      <w:numFmt w:val="decimal"/>
      <w:pStyle w:val="95"/>
      <w:suff w:val="space"/>
      <w:lvlText w:val="%1.%2.%3 "/>
      <w:lvlJc w:val="left"/>
      <w:pPr>
        <w:tabs>
          <w:tab w:val="left" w:pos="1276"/>
        </w:tabs>
        <w:ind w:left="0" w:firstLine="0"/>
      </w:pPr>
    </w:lvl>
    <w:lvl w:ilvl="3" w:tentative="0">
      <w:start w:val="1"/>
      <w:numFmt w:val="decimal"/>
      <w:pStyle w:val="96"/>
      <w:suff w:val="space"/>
      <w:lvlText w:val="%1.%2.%3.%4 "/>
      <w:lvlJc w:val="left"/>
      <w:pPr>
        <w:tabs>
          <w:tab w:val="left" w:pos="1559"/>
        </w:tabs>
        <w:ind w:left="0" w:firstLine="0"/>
      </w:pPr>
    </w:lvl>
    <w:lvl w:ilvl="4" w:tentative="0">
      <w:start w:val="1"/>
      <w:numFmt w:val="decimal"/>
      <w:pStyle w:val="97"/>
      <w:suff w:val="space"/>
      <w:lvlText w:val="%1.%2.%3.%4.%5 "/>
      <w:lvlJc w:val="left"/>
      <w:pPr>
        <w:tabs>
          <w:tab w:val="left" w:pos="1984"/>
        </w:tabs>
        <w:ind w:left="0" w:firstLine="0"/>
      </w:pPr>
    </w:lvl>
    <w:lvl w:ilvl="5" w:tentative="0">
      <w:start w:val="1"/>
      <w:numFmt w:val="decimal"/>
      <w:pStyle w:val="98"/>
      <w:suff w:val="space"/>
      <w:lvlText w:val="%1.%2.%3.%4.%5.%6 "/>
      <w:lvlJc w:val="left"/>
      <w:pPr>
        <w:tabs>
          <w:tab w:val="left" w:pos="2409"/>
        </w:tabs>
        <w:ind w:left="0" w:firstLine="0"/>
      </w:pPr>
    </w:lvl>
    <w:lvl w:ilvl="6" w:tentative="0">
      <w:start w:val="1"/>
      <w:numFmt w:val="lowerRoman"/>
      <w:lvlText w:val="%7."/>
      <w:lvlJc w:val="left"/>
      <w:pPr>
        <w:tabs>
          <w:tab w:val="left" w:pos="2835"/>
        </w:tabs>
        <w:ind w:left="2835" w:hanging="426"/>
      </w:pPr>
    </w:lvl>
    <w:lvl w:ilvl="7" w:tentative="0">
      <w:start w:val="1"/>
      <w:numFmt w:val="lowerLetter"/>
      <w:lvlText w:val="%8."/>
      <w:lvlJc w:val="left"/>
      <w:pPr>
        <w:tabs>
          <w:tab w:val="left" w:pos="3260"/>
        </w:tabs>
        <w:ind w:left="3260" w:hanging="425"/>
      </w:pPr>
    </w:lvl>
    <w:lvl w:ilvl="8" w:tentative="0">
      <w:start w:val="1"/>
      <w:numFmt w:val="lowerRoman"/>
      <w:lvlText w:val="%9."/>
      <w:lvlJc w:val="left"/>
      <w:pPr>
        <w:tabs>
          <w:tab w:val="left" w:pos="3685"/>
        </w:tabs>
        <w:ind w:left="3685" w:hanging="425"/>
      </w:pPr>
    </w:lvl>
  </w:abstractNum>
  <w:abstractNum w:abstractNumId="9">
    <w:nsid w:val="351A5410"/>
    <w:multiLevelType w:val="multilevel"/>
    <w:tmpl w:val="351A5410"/>
    <w:lvl w:ilvl="0" w:tentative="0">
      <w:start w:val="1"/>
      <w:numFmt w:val="decimal"/>
      <w:pStyle w:val="99"/>
      <w:isLgl/>
      <w:suff w:val="space"/>
      <w:lvlText w:val="图%1 "/>
      <w:lvlJc w:val="left"/>
      <w:pPr>
        <w:tabs>
          <w:tab w:val="left" w:pos="1440"/>
        </w:tabs>
        <w:ind w:left="0" w:firstLine="0"/>
      </w:pPr>
    </w:lvl>
    <w:lvl w:ilvl="1" w:tentative="0">
      <w:start w:val="1"/>
      <w:numFmt w:val="decimalZero"/>
      <w:pStyle w:val="3"/>
      <w:isLgl/>
      <w:lvlText w:val="节 %1.%2"/>
      <w:lvlJc w:val="left"/>
      <w:pPr>
        <w:tabs>
          <w:tab w:val="left" w:pos="1080"/>
        </w:tabs>
        <w:ind w:left="0" w:firstLine="0"/>
      </w:pPr>
    </w:lvl>
    <w:lvl w:ilvl="2" w:tentative="0">
      <w:start w:val="1"/>
      <w:numFmt w:val="lowerLetter"/>
      <w:pStyle w:val="4"/>
      <w:lvlText w:val="(%3)"/>
      <w:lvlJc w:val="left"/>
      <w:pPr>
        <w:tabs>
          <w:tab w:val="left" w:pos="720"/>
        </w:tabs>
        <w:ind w:left="720" w:hanging="432"/>
      </w:pPr>
    </w:lvl>
    <w:lvl w:ilvl="3" w:tentative="0">
      <w:start w:val="1"/>
      <w:numFmt w:val="lowerRoman"/>
      <w:pStyle w:val="5"/>
      <w:lvlText w:val="(%4)"/>
      <w:lvlJc w:val="right"/>
      <w:pPr>
        <w:tabs>
          <w:tab w:val="left" w:pos="864"/>
        </w:tabs>
        <w:ind w:left="864" w:hanging="144"/>
      </w:pPr>
    </w:lvl>
    <w:lvl w:ilvl="4" w:tentative="0">
      <w:start w:val="1"/>
      <w:numFmt w:val="decimal"/>
      <w:pStyle w:val="6"/>
      <w:lvlText w:val="%5)"/>
      <w:lvlJc w:val="left"/>
      <w:pPr>
        <w:tabs>
          <w:tab w:val="left" w:pos="1008"/>
        </w:tabs>
        <w:ind w:left="1008" w:hanging="432"/>
      </w:pPr>
    </w:lvl>
    <w:lvl w:ilvl="5" w:tentative="0">
      <w:start w:val="1"/>
      <w:numFmt w:val="lowerLetter"/>
      <w:pStyle w:val="7"/>
      <w:lvlText w:val="%6)"/>
      <w:lvlJc w:val="left"/>
      <w:pPr>
        <w:tabs>
          <w:tab w:val="left" w:pos="1152"/>
        </w:tabs>
        <w:ind w:left="1152" w:hanging="432"/>
      </w:pPr>
    </w:lvl>
    <w:lvl w:ilvl="6" w:tentative="0">
      <w:start w:val="1"/>
      <w:numFmt w:val="lowerRoman"/>
      <w:pStyle w:val="8"/>
      <w:lvlText w:val="%7)"/>
      <w:lvlJc w:val="right"/>
      <w:pPr>
        <w:tabs>
          <w:tab w:val="left" w:pos="1296"/>
        </w:tabs>
        <w:ind w:left="1296" w:hanging="288"/>
      </w:pPr>
    </w:lvl>
    <w:lvl w:ilvl="7" w:tentative="0">
      <w:start w:val="1"/>
      <w:numFmt w:val="lowerLetter"/>
      <w:pStyle w:val="9"/>
      <w:lvlText w:val="%8."/>
      <w:lvlJc w:val="left"/>
      <w:pPr>
        <w:tabs>
          <w:tab w:val="left" w:pos="1440"/>
        </w:tabs>
        <w:ind w:left="1440" w:hanging="432"/>
      </w:pPr>
    </w:lvl>
    <w:lvl w:ilvl="8" w:tentative="0">
      <w:start w:val="1"/>
      <w:numFmt w:val="lowerRoman"/>
      <w:pStyle w:val="10"/>
      <w:lvlText w:val="%9."/>
      <w:lvlJc w:val="right"/>
      <w:pPr>
        <w:tabs>
          <w:tab w:val="left" w:pos="1584"/>
        </w:tabs>
        <w:ind w:left="1584" w:hanging="144"/>
      </w:pPr>
    </w:lvl>
  </w:abstractNum>
  <w:abstractNum w:abstractNumId="10">
    <w:nsid w:val="36507F0F"/>
    <w:multiLevelType w:val="singleLevel"/>
    <w:tmpl w:val="36507F0F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37F578F6"/>
    <w:multiLevelType w:val="multilevel"/>
    <w:tmpl w:val="37F578F6"/>
    <w:lvl w:ilvl="0" w:tentative="0">
      <w:start w:val="1"/>
      <w:numFmt w:val="decimal"/>
      <w:pStyle w:val="45"/>
      <w:lvlText w:val="    %1)  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2">
    <w:nsid w:val="393902E2"/>
    <w:multiLevelType w:val="multilevel"/>
    <w:tmpl w:val="393902E2"/>
    <w:lvl w:ilvl="0" w:tentative="0">
      <w:start w:val="1"/>
      <w:numFmt w:val="decimal"/>
      <w:pStyle w:val="40"/>
      <w:lvlText w:val="表%1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3">
    <w:nsid w:val="4980034A"/>
    <w:multiLevelType w:val="multilevel"/>
    <w:tmpl w:val="4980034A"/>
    <w:lvl w:ilvl="0" w:tentative="0">
      <w:start w:val="1"/>
      <w:numFmt w:val="lowerLetter"/>
      <w:pStyle w:val="113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4E55479E"/>
    <w:multiLevelType w:val="multilevel"/>
    <w:tmpl w:val="4E55479E"/>
    <w:lvl w:ilvl="0" w:tentative="0">
      <w:start w:val="1"/>
      <w:numFmt w:val="decimal"/>
      <w:pStyle w:val="100"/>
      <w:isLgl/>
      <w:suff w:val="space"/>
      <w:lvlText w:val="表%1 "/>
      <w:lvlJc w:val="left"/>
      <w:pPr>
        <w:tabs>
          <w:tab w:val="left" w:pos="705"/>
        </w:tabs>
        <w:ind w:left="0" w:firstLine="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1800"/>
        </w:tabs>
        <w:ind w:left="18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2160"/>
        </w:tabs>
        <w:ind w:left="2160" w:hanging="216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160"/>
        </w:tabs>
        <w:ind w:left="216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520"/>
        </w:tabs>
        <w:ind w:left="2520" w:hanging="2520"/>
      </w:pPr>
      <w:rPr>
        <w:rFonts w:hint="default"/>
      </w:rPr>
    </w:lvl>
  </w:abstractNum>
  <w:abstractNum w:abstractNumId="15">
    <w:nsid w:val="5A745BE1"/>
    <w:multiLevelType w:val="multilevel"/>
    <w:tmpl w:val="5A745BE1"/>
    <w:lvl w:ilvl="0" w:tentative="0">
      <w:start w:val="1"/>
      <w:numFmt w:val="decimal"/>
      <w:pStyle w:val="108"/>
      <w:lvlText w:val="[%1]"/>
      <w:lvlJc w:val="left"/>
      <w:pPr>
        <w:ind w:left="20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040" w:hanging="420"/>
      </w:pPr>
    </w:lvl>
    <w:lvl w:ilvl="2" w:tentative="0">
      <w:start w:val="1"/>
      <w:numFmt w:val="lowerRoman"/>
      <w:lvlText w:val="%3."/>
      <w:lvlJc w:val="right"/>
      <w:pPr>
        <w:ind w:left="1460" w:hanging="420"/>
      </w:pPr>
    </w:lvl>
    <w:lvl w:ilvl="3" w:tentative="0">
      <w:start w:val="1"/>
      <w:numFmt w:val="decimal"/>
      <w:lvlText w:val="%4."/>
      <w:lvlJc w:val="left"/>
      <w:pPr>
        <w:ind w:left="1880" w:hanging="420"/>
      </w:pPr>
    </w:lvl>
    <w:lvl w:ilvl="4" w:tentative="0">
      <w:start w:val="1"/>
      <w:numFmt w:val="lowerLetter"/>
      <w:lvlText w:val="%5)"/>
      <w:lvlJc w:val="left"/>
      <w:pPr>
        <w:ind w:left="2300" w:hanging="420"/>
      </w:pPr>
    </w:lvl>
    <w:lvl w:ilvl="5" w:tentative="0">
      <w:start w:val="1"/>
      <w:numFmt w:val="lowerRoman"/>
      <w:lvlText w:val="%6."/>
      <w:lvlJc w:val="right"/>
      <w:pPr>
        <w:ind w:left="2720" w:hanging="420"/>
      </w:pPr>
    </w:lvl>
    <w:lvl w:ilvl="6" w:tentative="0">
      <w:start w:val="1"/>
      <w:numFmt w:val="decimal"/>
      <w:lvlText w:val="%7."/>
      <w:lvlJc w:val="left"/>
      <w:pPr>
        <w:ind w:left="3140" w:hanging="420"/>
      </w:pPr>
    </w:lvl>
    <w:lvl w:ilvl="7" w:tentative="0">
      <w:start w:val="1"/>
      <w:numFmt w:val="lowerLetter"/>
      <w:lvlText w:val="%8)"/>
      <w:lvlJc w:val="left"/>
      <w:pPr>
        <w:ind w:left="3560" w:hanging="420"/>
      </w:pPr>
    </w:lvl>
    <w:lvl w:ilvl="8" w:tentative="0">
      <w:start w:val="1"/>
      <w:numFmt w:val="lowerRoman"/>
      <w:lvlText w:val="%9."/>
      <w:lvlJc w:val="right"/>
      <w:pPr>
        <w:ind w:left="3980" w:hanging="420"/>
      </w:pPr>
    </w:lvl>
  </w:abstractNum>
  <w:abstractNum w:abstractNumId="16">
    <w:nsid w:val="5C9EBC5C"/>
    <w:multiLevelType w:val="singleLevel"/>
    <w:tmpl w:val="5C9EBC5C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nsid w:val="6067286C"/>
    <w:multiLevelType w:val="multilevel"/>
    <w:tmpl w:val="6067286C"/>
    <w:lvl w:ilvl="0" w:tentative="0">
      <w:start w:val="1"/>
      <w:numFmt w:val="none"/>
      <w:pStyle w:val="49"/>
      <w:lvlText w:val="    注："/>
      <w:lvlJc w:val="left"/>
      <w:pPr>
        <w:tabs>
          <w:tab w:val="left" w:pos="0"/>
        </w:tabs>
        <w:ind w:left="0" w:firstLine="0"/>
      </w:pPr>
      <w:rPr>
        <w:rFonts w:hint="eastAsia" w:ascii="宋体" w:hAnsi="Times New Roman" w:eastAsia="宋体"/>
        <w:b w:val="0"/>
        <w:i w:val="0"/>
        <w:sz w:val="28"/>
        <w:szCs w:val="28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8">
    <w:nsid w:val="6BD81851"/>
    <w:multiLevelType w:val="multilevel"/>
    <w:tmpl w:val="6BD81851"/>
    <w:lvl w:ilvl="0" w:tentative="0">
      <w:start w:val="1"/>
      <w:numFmt w:val="upperLetter"/>
      <w:pStyle w:val="47"/>
      <w:lvlText w:val="附录%1"/>
      <w:lvlJc w:val="center"/>
      <w:pPr>
        <w:tabs>
          <w:tab w:val="left" w:pos="648"/>
        </w:tabs>
        <w:ind w:left="420" w:hanging="132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9">
    <w:nsid w:val="76DB0CA0"/>
    <w:multiLevelType w:val="multilevel"/>
    <w:tmpl w:val="76DB0CA0"/>
    <w:lvl w:ilvl="0" w:tentative="0">
      <w:start w:val="1"/>
      <w:numFmt w:val="none"/>
      <w:pStyle w:val="46"/>
      <w:lvlText w:val="%1——"/>
      <w:lvlJc w:val="left"/>
      <w:pPr>
        <w:tabs>
          <w:tab w:val="left" w:pos="920"/>
        </w:tabs>
        <w:ind w:left="6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0">
    <w:nsid w:val="78D97B0D"/>
    <w:multiLevelType w:val="multilevel"/>
    <w:tmpl w:val="78D97B0D"/>
    <w:lvl w:ilvl="0" w:tentative="0">
      <w:start w:val="1"/>
      <w:numFmt w:val="decimal"/>
      <w:pStyle w:val="43"/>
      <w:lvlText w:val="    注%1："/>
      <w:lvlJc w:val="left"/>
      <w:pPr>
        <w:tabs>
          <w:tab w:val="left" w:pos="1440"/>
        </w:tabs>
        <w:ind w:left="827" w:hanging="82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420"/>
        </w:tabs>
        <w:ind w:left="4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840"/>
        </w:tabs>
        <w:ind w:left="840" w:hanging="420"/>
      </w:pPr>
    </w:lvl>
    <w:lvl w:ilvl="3" w:tentative="0">
      <w:start w:val="1"/>
      <w:numFmt w:val="decimal"/>
      <w:lvlText w:val="%4."/>
      <w:lvlJc w:val="left"/>
      <w:pPr>
        <w:tabs>
          <w:tab w:val="left" w:pos="1260"/>
        </w:tabs>
        <w:ind w:left="12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1680"/>
        </w:tabs>
        <w:ind w:left="16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100"/>
        </w:tabs>
        <w:ind w:left="2100" w:hanging="420"/>
      </w:pPr>
    </w:lvl>
    <w:lvl w:ilvl="6" w:tentative="0">
      <w:start w:val="1"/>
      <w:numFmt w:val="decimal"/>
      <w:lvlText w:val="%7."/>
      <w:lvlJc w:val="left"/>
      <w:pPr>
        <w:tabs>
          <w:tab w:val="left" w:pos="2520"/>
        </w:tabs>
        <w:ind w:left="25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2940"/>
        </w:tabs>
        <w:ind w:left="29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360"/>
        </w:tabs>
        <w:ind w:left="3360" w:hanging="420"/>
      </w:pPr>
    </w:lvl>
  </w:abstractNum>
  <w:abstractNum w:abstractNumId="21">
    <w:nsid w:val="7AD22444"/>
    <w:multiLevelType w:val="multilevel"/>
    <w:tmpl w:val="7AD22444"/>
    <w:lvl w:ilvl="0" w:tentative="0">
      <w:start w:val="1"/>
      <w:numFmt w:val="decimal"/>
      <w:pStyle w:val="80"/>
      <w:isLgl/>
      <w:suff w:val="space"/>
      <w:lvlText w:val="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86"/>
      <w:isLgl/>
      <w:suff w:val="space"/>
      <w:lvlText w:val="%1.%2 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87"/>
      <w:isLgl/>
      <w:suff w:val="space"/>
      <w:lvlText w:val="%1.%2.%3 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88"/>
      <w:isLgl/>
      <w:suff w:val="space"/>
      <w:lvlText w:val="%1.%2.%3.%4 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89"/>
      <w:isLgl/>
      <w:suff w:val="space"/>
      <w:lvlText w:val="%1.%2.%3.%4.%5 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90"/>
      <w:isLgl/>
      <w:suff w:val="space"/>
      <w:lvlText w:val="%1.%2.%3.%4.%5.%6 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22">
    <w:nsid w:val="7ECE7AC8"/>
    <w:multiLevelType w:val="multilevel"/>
    <w:tmpl w:val="7ECE7AC8"/>
    <w:lvl w:ilvl="0" w:tentative="0">
      <w:start w:val="1"/>
      <w:numFmt w:val="decimal"/>
      <w:pStyle w:val="39"/>
      <w:lvlText w:val="图%1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9"/>
  </w:num>
  <w:num w:numId="2">
    <w:abstractNumId w:val="4"/>
  </w:num>
  <w:num w:numId="3">
    <w:abstractNumId w:val="22"/>
  </w:num>
  <w:num w:numId="4">
    <w:abstractNumId w:val="12"/>
  </w:num>
  <w:num w:numId="5">
    <w:abstractNumId w:val="20"/>
  </w:num>
  <w:num w:numId="6">
    <w:abstractNumId w:val="6"/>
  </w:num>
  <w:num w:numId="7">
    <w:abstractNumId w:val="11"/>
  </w:num>
  <w:num w:numId="8">
    <w:abstractNumId w:val="19"/>
  </w:num>
  <w:num w:numId="9">
    <w:abstractNumId w:val="18"/>
  </w:num>
  <w:num w:numId="10">
    <w:abstractNumId w:val="5"/>
  </w:num>
  <w:num w:numId="11">
    <w:abstractNumId w:val="17"/>
  </w:num>
  <w:num w:numId="12">
    <w:abstractNumId w:val="21"/>
  </w:num>
  <w:num w:numId="13">
    <w:abstractNumId w:val="8"/>
  </w:num>
  <w:num w:numId="14">
    <w:abstractNumId w:val="14"/>
  </w:num>
  <w:num w:numId="15">
    <w:abstractNumId w:val="15"/>
  </w:num>
  <w:num w:numId="16">
    <w:abstractNumId w:val="13"/>
  </w:num>
  <w:num w:numId="17">
    <w:abstractNumId w:val="7"/>
  </w:num>
  <w:num w:numId="18">
    <w:abstractNumId w:val="10"/>
  </w:num>
  <w:num w:numId="19">
    <w:abstractNumId w:val="0"/>
  </w:num>
  <w:num w:numId="20">
    <w:abstractNumId w:val="3"/>
  </w:num>
  <w:num w:numId="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6"/>
  </w:num>
  <w:num w:numId="26">
    <w:abstractNumId w:val="2"/>
  </w:num>
  <w:num w:numId="2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NotDisplayPageBoundaries w:val="1"/>
  <w:bordersDoNotSurroundHeader w:val="0"/>
  <w:bordersDoNotSurroundFooter w:val="0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attachedTemplate r:id="rId1"/>
  <w:documentProtection w:enforcement="0"/>
  <w:defaultTabStop w:val="425"/>
  <w:hyphenationZone w:val="36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M4MTg5MGNlMWZiMzkxYjQ3ODU1NGEwMmQ3MjRlZDIifQ=="/>
    <w:docVar w:name="Wordver" w:val="word70"/>
  </w:docVars>
  <w:rsids>
    <w:rsidRoot w:val="36332EFE"/>
    <w:rsid w:val="00001574"/>
    <w:rsid w:val="000046AF"/>
    <w:rsid w:val="00010D57"/>
    <w:rsid w:val="000148CA"/>
    <w:rsid w:val="00022A22"/>
    <w:rsid w:val="0002611A"/>
    <w:rsid w:val="00054505"/>
    <w:rsid w:val="00060324"/>
    <w:rsid w:val="00072788"/>
    <w:rsid w:val="00076AAC"/>
    <w:rsid w:val="00081944"/>
    <w:rsid w:val="000850FD"/>
    <w:rsid w:val="0008769C"/>
    <w:rsid w:val="00087901"/>
    <w:rsid w:val="0009771F"/>
    <w:rsid w:val="000A2F33"/>
    <w:rsid w:val="000B278E"/>
    <w:rsid w:val="000D66A4"/>
    <w:rsid w:val="000F3B36"/>
    <w:rsid w:val="000F7000"/>
    <w:rsid w:val="00100A01"/>
    <w:rsid w:val="00101AE9"/>
    <w:rsid w:val="0010542E"/>
    <w:rsid w:val="001106E6"/>
    <w:rsid w:val="00111582"/>
    <w:rsid w:val="00112584"/>
    <w:rsid w:val="00117236"/>
    <w:rsid w:val="00150349"/>
    <w:rsid w:val="00155631"/>
    <w:rsid w:val="00157E8C"/>
    <w:rsid w:val="00164A21"/>
    <w:rsid w:val="00165869"/>
    <w:rsid w:val="00170F0C"/>
    <w:rsid w:val="00172A9A"/>
    <w:rsid w:val="00173662"/>
    <w:rsid w:val="00180706"/>
    <w:rsid w:val="00181095"/>
    <w:rsid w:val="00183E60"/>
    <w:rsid w:val="00185CED"/>
    <w:rsid w:val="0019730F"/>
    <w:rsid w:val="001A004E"/>
    <w:rsid w:val="001A5BFB"/>
    <w:rsid w:val="001C00A8"/>
    <w:rsid w:val="001C1F94"/>
    <w:rsid w:val="001D0DED"/>
    <w:rsid w:val="001F0030"/>
    <w:rsid w:val="001F7A9D"/>
    <w:rsid w:val="00200686"/>
    <w:rsid w:val="0022662E"/>
    <w:rsid w:val="00235103"/>
    <w:rsid w:val="0023558C"/>
    <w:rsid w:val="00241646"/>
    <w:rsid w:val="00245430"/>
    <w:rsid w:val="00257678"/>
    <w:rsid w:val="00284C94"/>
    <w:rsid w:val="002861B2"/>
    <w:rsid w:val="00286ACD"/>
    <w:rsid w:val="00292AA9"/>
    <w:rsid w:val="002A0E7A"/>
    <w:rsid w:val="002A5578"/>
    <w:rsid w:val="002A7E3C"/>
    <w:rsid w:val="002C0B97"/>
    <w:rsid w:val="002C6400"/>
    <w:rsid w:val="002C7AE0"/>
    <w:rsid w:val="002E2305"/>
    <w:rsid w:val="002F513C"/>
    <w:rsid w:val="00303571"/>
    <w:rsid w:val="00305F2F"/>
    <w:rsid w:val="00306D6C"/>
    <w:rsid w:val="003147D1"/>
    <w:rsid w:val="00335EF7"/>
    <w:rsid w:val="00361C06"/>
    <w:rsid w:val="00362925"/>
    <w:rsid w:val="003646C5"/>
    <w:rsid w:val="00381A18"/>
    <w:rsid w:val="003845CB"/>
    <w:rsid w:val="00384E51"/>
    <w:rsid w:val="00395025"/>
    <w:rsid w:val="003A1BFB"/>
    <w:rsid w:val="003A4C8E"/>
    <w:rsid w:val="003A722A"/>
    <w:rsid w:val="003B4ACB"/>
    <w:rsid w:val="003B5B75"/>
    <w:rsid w:val="003C03B3"/>
    <w:rsid w:val="003C1FDD"/>
    <w:rsid w:val="003C3DAF"/>
    <w:rsid w:val="003C55C3"/>
    <w:rsid w:val="003C5656"/>
    <w:rsid w:val="003D4861"/>
    <w:rsid w:val="003D5656"/>
    <w:rsid w:val="003E5B45"/>
    <w:rsid w:val="003E5DA9"/>
    <w:rsid w:val="004050EC"/>
    <w:rsid w:val="0041118C"/>
    <w:rsid w:val="00413143"/>
    <w:rsid w:val="00413390"/>
    <w:rsid w:val="004136F6"/>
    <w:rsid w:val="00426278"/>
    <w:rsid w:val="00427B43"/>
    <w:rsid w:val="00427C02"/>
    <w:rsid w:val="004330B9"/>
    <w:rsid w:val="00434BA3"/>
    <w:rsid w:val="00446A7F"/>
    <w:rsid w:val="00447EA5"/>
    <w:rsid w:val="004528AF"/>
    <w:rsid w:val="00454A96"/>
    <w:rsid w:val="00460D02"/>
    <w:rsid w:val="00461681"/>
    <w:rsid w:val="004712CF"/>
    <w:rsid w:val="00471CC6"/>
    <w:rsid w:val="004757FE"/>
    <w:rsid w:val="00486E25"/>
    <w:rsid w:val="004901EA"/>
    <w:rsid w:val="00497B4D"/>
    <w:rsid w:val="004A071B"/>
    <w:rsid w:val="004A1069"/>
    <w:rsid w:val="004A4791"/>
    <w:rsid w:val="004A4E4E"/>
    <w:rsid w:val="004B1AA0"/>
    <w:rsid w:val="004B2235"/>
    <w:rsid w:val="004B2274"/>
    <w:rsid w:val="004B3657"/>
    <w:rsid w:val="004B4C81"/>
    <w:rsid w:val="004C46C7"/>
    <w:rsid w:val="004C6257"/>
    <w:rsid w:val="004D30B1"/>
    <w:rsid w:val="004E4E78"/>
    <w:rsid w:val="004F03D9"/>
    <w:rsid w:val="004F3AFA"/>
    <w:rsid w:val="00502CE6"/>
    <w:rsid w:val="0050419B"/>
    <w:rsid w:val="0050652B"/>
    <w:rsid w:val="00506CF6"/>
    <w:rsid w:val="00510B84"/>
    <w:rsid w:val="00513DA0"/>
    <w:rsid w:val="00521C8B"/>
    <w:rsid w:val="00526F2C"/>
    <w:rsid w:val="00534699"/>
    <w:rsid w:val="00542F0C"/>
    <w:rsid w:val="00562E6F"/>
    <w:rsid w:val="00571CFD"/>
    <w:rsid w:val="005766A1"/>
    <w:rsid w:val="00584F3F"/>
    <w:rsid w:val="00593EB0"/>
    <w:rsid w:val="005A150B"/>
    <w:rsid w:val="005A3F54"/>
    <w:rsid w:val="005A416A"/>
    <w:rsid w:val="005A656C"/>
    <w:rsid w:val="005B0A68"/>
    <w:rsid w:val="005C738F"/>
    <w:rsid w:val="005D0939"/>
    <w:rsid w:val="005D2854"/>
    <w:rsid w:val="005E2699"/>
    <w:rsid w:val="005E4A80"/>
    <w:rsid w:val="0060237C"/>
    <w:rsid w:val="0061389D"/>
    <w:rsid w:val="00613B5E"/>
    <w:rsid w:val="00614FE8"/>
    <w:rsid w:val="00617586"/>
    <w:rsid w:val="00617F72"/>
    <w:rsid w:val="00621972"/>
    <w:rsid w:val="0063433F"/>
    <w:rsid w:val="0065312F"/>
    <w:rsid w:val="00661C2D"/>
    <w:rsid w:val="00665940"/>
    <w:rsid w:val="00667D4A"/>
    <w:rsid w:val="00667E29"/>
    <w:rsid w:val="006766A1"/>
    <w:rsid w:val="0067749D"/>
    <w:rsid w:val="0068009A"/>
    <w:rsid w:val="0068382D"/>
    <w:rsid w:val="00692EFB"/>
    <w:rsid w:val="00694EBA"/>
    <w:rsid w:val="00695050"/>
    <w:rsid w:val="006A0102"/>
    <w:rsid w:val="006A3104"/>
    <w:rsid w:val="006B2631"/>
    <w:rsid w:val="006C16C4"/>
    <w:rsid w:val="006C3E6B"/>
    <w:rsid w:val="006D63FC"/>
    <w:rsid w:val="006E383E"/>
    <w:rsid w:val="006E4408"/>
    <w:rsid w:val="006E4429"/>
    <w:rsid w:val="006F4D12"/>
    <w:rsid w:val="007043A8"/>
    <w:rsid w:val="00704F4A"/>
    <w:rsid w:val="00711898"/>
    <w:rsid w:val="007163E6"/>
    <w:rsid w:val="00717423"/>
    <w:rsid w:val="00721C0D"/>
    <w:rsid w:val="007260AC"/>
    <w:rsid w:val="00736E23"/>
    <w:rsid w:val="007462CF"/>
    <w:rsid w:val="00762089"/>
    <w:rsid w:val="00783861"/>
    <w:rsid w:val="007B7548"/>
    <w:rsid w:val="007C221D"/>
    <w:rsid w:val="007C695E"/>
    <w:rsid w:val="007D49AB"/>
    <w:rsid w:val="007F1365"/>
    <w:rsid w:val="007F6C20"/>
    <w:rsid w:val="00802CFD"/>
    <w:rsid w:val="00810478"/>
    <w:rsid w:val="008156F7"/>
    <w:rsid w:val="00816A75"/>
    <w:rsid w:val="00823F09"/>
    <w:rsid w:val="00840D65"/>
    <w:rsid w:val="00843C37"/>
    <w:rsid w:val="00854349"/>
    <w:rsid w:val="0085735A"/>
    <w:rsid w:val="00865AE2"/>
    <w:rsid w:val="00867F6F"/>
    <w:rsid w:val="00870AAC"/>
    <w:rsid w:val="00873233"/>
    <w:rsid w:val="008752D7"/>
    <w:rsid w:val="0088458F"/>
    <w:rsid w:val="00894D4D"/>
    <w:rsid w:val="008952EB"/>
    <w:rsid w:val="00895451"/>
    <w:rsid w:val="008A064B"/>
    <w:rsid w:val="008A1126"/>
    <w:rsid w:val="008A77EA"/>
    <w:rsid w:val="008A7E8E"/>
    <w:rsid w:val="008B165C"/>
    <w:rsid w:val="008C36BB"/>
    <w:rsid w:val="008D3509"/>
    <w:rsid w:val="008D46B9"/>
    <w:rsid w:val="008E0067"/>
    <w:rsid w:val="008E2BA0"/>
    <w:rsid w:val="008F1695"/>
    <w:rsid w:val="008F378F"/>
    <w:rsid w:val="008F4FAE"/>
    <w:rsid w:val="0090664B"/>
    <w:rsid w:val="0091443A"/>
    <w:rsid w:val="009216EE"/>
    <w:rsid w:val="00923A27"/>
    <w:rsid w:val="00925FBA"/>
    <w:rsid w:val="00931964"/>
    <w:rsid w:val="0095471B"/>
    <w:rsid w:val="009565D9"/>
    <w:rsid w:val="00967022"/>
    <w:rsid w:val="00972B9D"/>
    <w:rsid w:val="009742D5"/>
    <w:rsid w:val="009753E1"/>
    <w:rsid w:val="00987AFA"/>
    <w:rsid w:val="0099413C"/>
    <w:rsid w:val="009A2B79"/>
    <w:rsid w:val="009A66D7"/>
    <w:rsid w:val="009B0CEF"/>
    <w:rsid w:val="009B4BF4"/>
    <w:rsid w:val="009B634A"/>
    <w:rsid w:val="009C3BF4"/>
    <w:rsid w:val="009C3C0A"/>
    <w:rsid w:val="009C6376"/>
    <w:rsid w:val="009C78F7"/>
    <w:rsid w:val="009D1A19"/>
    <w:rsid w:val="009D48D3"/>
    <w:rsid w:val="009E1CD9"/>
    <w:rsid w:val="009E6AED"/>
    <w:rsid w:val="009F471B"/>
    <w:rsid w:val="009F60AC"/>
    <w:rsid w:val="009F702E"/>
    <w:rsid w:val="00A06714"/>
    <w:rsid w:val="00A12731"/>
    <w:rsid w:val="00A1324A"/>
    <w:rsid w:val="00A14F36"/>
    <w:rsid w:val="00A30D19"/>
    <w:rsid w:val="00A33406"/>
    <w:rsid w:val="00A43D85"/>
    <w:rsid w:val="00A43DEE"/>
    <w:rsid w:val="00A446C9"/>
    <w:rsid w:val="00A46019"/>
    <w:rsid w:val="00A4640F"/>
    <w:rsid w:val="00A472C3"/>
    <w:rsid w:val="00A517B8"/>
    <w:rsid w:val="00A518BF"/>
    <w:rsid w:val="00A56F78"/>
    <w:rsid w:val="00A6139A"/>
    <w:rsid w:val="00A617FA"/>
    <w:rsid w:val="00A679EB"/>
    <w:rsid w:val="00A75E79"/>
    <w:rsid w:val="00A8047A"/>
    <w:rsid w:val="00A83107"/>
    <w:rsid w:val="00A8681F"/>
    <w:rsid w:val="00A94582"/>
    <w:rsid w:val="00AA3576"/>
    <w:rsid w:val="00AB2725"/>
    <w:rsid w:val="00AC62DF"/>
    <w:rsid w:val="00AD4157"/>
    <w:rsid w:val="00AD5571"/>
    <w:rsid w:val="00AE0A4C"/>
    <w:rsid w:val="00AE3FD9"/>
    <w:rsid w:val="00AF1981"/>
    <w:rsid w:val="00AF5072"/>
    <w:rsid w:val="00AF6BDA"/>
    <w:rsid w:val="00AF7F14"/>
    <w:rsid w:val="00B00471"/>
    <w:rsid w:val="00B004FF"/>
    <w:rsid w:val="00B11C6E"/>
    <w:rsid w:val="00B2273A"/>
    <w:rsid w:val="00B22F58"/>
    <w:rsid w:val="00B31384"/>
    <w:rsid w:val="00B32C09"/>
    <w:rsid w:val="00B6128C"/>
    <w:rsid w:val="00B63DD1"/>
    <w:rsid w:val="00B66457"/>
    <w:rsid w:val="00B71BD0"/>
    <w:rsid w:val="00B750F2"/>
    <w:rsid w:val="00B854DF"/>
    <w:rsid w:val="00B91037"/>
    <w:rsid w:val="00B92896"/>
    <w:rsid w:val="00B95564"/>
    <w:rsid w:val="00B95F6A"/>
    <w:rsid w:val="00B97BFA"/>
    <w:rsid w:val="00BA068F"/>
    <w:rsid w:val="00BA5CC3"/>
    <w:rsid w:val="00BB18B8"/>
    <w:rsid w:val="00BB6A2B"/>
    <w:rsid w:val="00BB6AD9"/>
    <w:rsid w:val="00BC28BA"/>
    <w:rsid w:val="00BC6E28"/>
    <w:rsid w:val="00BD73E1"/>
    <w:rsid w:val="00BE1545"/>
    <w:rsid w:val="00BE4293"/>
    <w:rsid w:val="00BE579D"/>
    <w:rsid w:val="00BE783B"/>
    <w:rsid w:val="00BE78F0"/>
    <w:rsid w:val="00BF4E32"/>
    <w:rsid w:val="00BF5890"/>
    <w:rsid w:val="00C01C99"/>
    <w:rsid w:val="00C03790"/>
    <w:rsid w:val="00C21E41"/>
    <w:rsid w:val="00C30F35"/>
    <w:rsid w:val="00C3697C"/>
    <w:rsid w:val="00C44606"/>
    <w:rsid w:val="00C54608"/>
    <w:rsid w:val="00C6380E"/>
    <w:rsid w:val="00C63E78"/>
    <w:rsid w:val="00C877B8"/>
    <w:rsid w:val="00C9125D"/>
    <w:rsid w:val="00C95FDD"/>
    <w:rsid w:val="00CA08B6"/>
    <w:rsid w:val="00CB183E"/>
    <w:rsid w:val="00CB66E2"/>
    <w:rsid w:val="00CC58FC"/>
    <w:rsid w:val="00CC6F5E"/>
    <w:rsid w:val="00CD48C6"/>
    <w:rsid w:val="00CD528E"/>
    <w:rsid w:val="00CE4821"/>
    <w:rsid w:val="00CE6F5D"/>
    <w:rsid w:val="00CF0104"/>
    <w:rsid w:val="00CF19FF"/>
    <w:rsid w:val="00CF2CA2"/>
    <w:rsid w:val="00CF3056"/>
    <w:rsid w:val="00D013FB"/>
    <w:rsid w:val="00D02F66"/>
    <w:rsid w:val="00D0481E"/>
    <w:rsid w:val="00D05BF4"/>
    <w:rsid w:val="00D11161"/>
    <w:rsid w:val="00D219E7"/>
    <w:rsid w:val="00D23810"/>
    <w:rsid w:val="00D25044"/>
    <w:rsid w:val="00D27B44"/>
    <w:rsid w:val="00D37CCB"/>
    <w:rsid w:val="00D4095D"/>
    <w:rsid w:val="00D47722"/>
    <w:rsid w:val="00D50654"/>
    <w:rsid w:val="00D5256E"/>
    <w:rsid w:val="00D57BF6"/>
    <w:rsid w:val="00D61280"/>
    <w:rsid w:val="00D61C8D"/>
    <w:rsid w:val="00D7107F"/>
    <w:rsid w:val="00D7702C"/>
    <w:rsid w:val="00D77FA0"/>
    <w:rsid w:val="00D9249F"/>
    <w:rsid w:val="00DA08C7"/>
    <w:rsid w:val="00DA1831"/>
    <w:rsid w:val="00DA1ED9"/>
    <w:rsid w:val="00DA4E8A"/>
    <w:rsid w:val="00DB1174"/>
    <w:rsid w:val="00DB7A62"/>
    <w:rsid w:val="00DC031B"/>
    <w:rsid w:val="00DE564D"/>
    <w:rsid w:val="00DE7C47"/>
    <w:rsid w:val="00DF18C1"/>
    <w:rsid w:val="00E02A88"/>
    <w:rsid w:val="00E171FD"/>
    <w:rsid w:val="00E21710"/>
    <w:rsid w:val="00E33A07"/>
    <w:rsid w:val="00E37519"/>
    <w:rsid w:val="00E66250"/>
    <w:rsid w:val="00E67B24"/>
    <w:rsid w:val="00E71E72"/>
    <w:rsid w:val="00E75DF8"/>
    <w:rsid w:val="00E82CFA"/>
    <w:rsid w:val="00E93005"/>
    <w:rsid w:val="00EB087E"/>
    <w:rsid w:val="00EB1B16"/>
    <w:rsid w:val="00EB25FE"/>
    <w:rsid w:val="00EB6B74"/>
    <w:rsid w:val="00EC103E"/>
    <w:rsid w:val="00ED0211"/>
    <w:rsid w:val="00ED200A"/>
    <w:rsid w:val="00EF083D"/>
    <w:rsid w:val="00EF325A"/>
    <w:rsid w:val="00EF3688"/>
    <w:rsid w:val="00EF6D87"/>
    <w:rsid w:val="00F0184A"/>
    <w:rsid w:val="00F01F1F"/>
    <w:rsid w:val="00F12EBE"/>
    <w:rsid w:val="00F147BE"/>
    <w:rsid w:val="00F32D47"/>
    <w:rsid w:val="00F43FBA"/>
    <w:rsid w:val="00F50AE2"/>
    <w:rsid w:val="00F5215D"/>
    <w:rsid w:val="00F534F2"/>
    <w:rsid w:val="00F57AE6"/>
    <w:rsid w:val="00F63275"/>
    <w:rsid w:val="00F647D6"/>
    <w:rsid w:val="00F653DF"/>
    <w:rsid w:val="00F71D72"/>
    <w:rsid w:val="00F74C5A"/>
    <w:rsid w:val="00F868D0"/>
    <w:rsid w:val="00F93610"/>
    <w:rsid w:val="00F96124"/>
    <w:rsid w:val="00FA0045"/>
    <w:rsid w:val="00FA088B"/>
    <w:rsid w:val="00FA50AA"/>
    <w:rsid w:val="00FB1040"/>
    <w:rsid w:val="00FB38B1"/>
    <w:rsid w:val="00FC6F9A"/>
    <w:rsid w:val="00FC7661"/>
    <w:rsid w:val="00FE1A1D"/>
    <w:rsid w:val="00FF4EBB"/>
    <w:rsid w:val="01045CA8"/>
    <w:rsid w:val="01154225"/>
    <w:rsid w:val="01192C1F"/>
    <w:rsid w:val="01242E93"/>
    <w:rsid w:val="01483505"/>
    <w:rsid w:val="014D6DFD"/>
    <w:rsid w:val="014F1EF4"/>
    <w:rsid w:val="015E0AEC"/>
    <w:rsid w:val="018B4054"/>
    <w:rsid w:val="0193427D"/>
    <w:rsid w:val="01983551"/>
    <w:rsid w:val="01B22FF0"/>
    <w:rsid w:val="02025461"/>
    <w:rsid w:val="0205192C"/>
    <w:rsid w:val="023615AF"/>
    <w:rsid w:val="0279405F"/>
    <w:rsid w:val="02795D1B"/>
    <w:rsid w:val="02932A9B"/>
    <w:rsid w:val="029E3692"/>
    <w:rsid w:val="02C73E19"/>
    <w:rsid w:val="02E4246A"/>
    <w:rsid w:val="02E64D83"/>
    <w:rsid w:val="031B028A"/>
    <w:rsid w:val="03285F72"/>
    <w:rsid w:val="03290076"/>
    <w:rsid w:val="032D6BA6"/>
    <w:rsid w:val="034F46D6"/>
    <w:rsid w:val="037308E1"/>
    <w:rsid w:val="037B371D"/>
    <w:rsid w:val="038E75C6"/>
    <w:rsid w:val="03970A50"/>
    <w:rsid w:val="03DE1785"/>
    <w:rsid w:val="040829D7"/>
    <w:rsid w:val="040833C6"/>
    <w:rsid w:val="04155920"/>
    <w:rsid w:val="046309C6"/>
    <w:rsid w:val="04A3313F"/>
    <w:rsid w:val="04C635BB"/>
    <w:rsid w:val="04DA5935"/>
    <w:rsid w:val="04F018CF"/>
    <w:rsid w:val="04FE3150"/>
    <w:rsid w:val="050551FA"/>
    <w:rsid w:val="0534627A"/>
    <w:rsid w:val="054F7BE5"/>
    <w:rsid w:val="056162F2"/>
    <w:rsid w:val="05752C9A"/>
    <w:rsid w:val="05770749"/>
    <w:rsid w:val="057D6FCE"/>
    <w:rsid w:val="058B29A1"/>
    <w:rsid w:val="059D7E1B"/>
    <w:rsid w:val="05C06BBA"/>
    <w:rsid w:val="05CE0160"/>
    <w:rsid w:val="05D84CA5"/>
    <w:rsid w:val="06056ADC"/>
    <w:rsid w:val="06086B28"/>
    <w:rsid w:val="061A5B66"/>
    <w:rsid w:val="061A7DF9"/>
    <w:rsid w:val="061E4834"/>
    <w:rsid w:val="063F3B40"/>
    <w:rsid w:val="06516771"/>
    <w:rsid w:val="06524A8D"/>
    <w:rsid w:val="068563FB"/>
    <w:rsid w:val="06C21663"/>
    <w:rsid w:val="06CC597B"/>
    <w:rsid w:val="06D60D20"/>
    <w:rsid w:val="06D703F3"/>
    <w:rsid w:val="06E460DC"/>
    <w:rsid w:val="06ED4932"/>
    <w:rsid w:val="06F62D30"/>
    <w:rsid w:val="070954E4"/>
    <w:rsid w:val="07267B89"/>
    <w:rsid w:val="07297DFE"/>
    <w:rsid w:val="073B123D"/>
    <w:rsid w:val="076F2BFE"/>
    <w:rsid w:val="0794028A"/>
    <w:rsid w:val="07AA4CFF"/>
    <w:rsid w:val="07BF5746"/>
    <w:rsid w:val="07FF321B"/>
    <w:rsid w:val="080D2764"/>
    <w:rsid w:val="082C76D3"/>
    <w:rsid w:val="08365E65"/>
    <w:rsid w:val="083D720A"/>
    <w:rsid w:val="089F4205"/>
    <w:rsid w:val="08A459A3"/>
    <w:rsid w:val="08F83980"/>
    <w:rsid w:val="090B44BE"/>
    <w:rsid w:val="09234528"/>
    <w:rsid w:val="0932487E"/>
    <w:rsid w:val="09372623"/>
    <w:rsid w:val="09827E44"/>
    <w:rsid w:val="098C0797"/>
    <w:rsid w:val="099C2AD0"/>
    <w:rsid w:val="099E1549"/>
    <w:rsid w:val="09A16694"/>
    <w:rsid w:val="09C54B30"/>
    <w:rsid w:val="09C76388"/>
    <w:rsid w:val="09C83435"/>
    <w:rsid w:val="09D0616C"/>
    <w:rsid w:val="09E24EAD"/>
    <w:rsid w:val="09E74C46"/>
    <w:rsid w:val="09F731F4"/>
    <w:rsid w:val="0A116F99"/>
    <w:rsid w:val="0A222B45"/>
    <w:rsid w:val="0A3A6153"/>
    <w:rsid w:val="0A60366D"/>
    <w:rsid w:val="0A79472F"/>
    <w:rsid w:val="0A846205"/>
    <w:rsid w:val="0A8729A8"/>
    <w:rsid w:val="0A9759FD"/>
    <w:rsid w:val="0AB86AB2"/>
    <w:rsid w:val="0AE74D77"/>
    <w:rsid w:val="0AEB78E7"/>
    <w:rsid w:val="0AF65D7F"/>
    <w:rsid w:val="0B0E782A"/>
    <w:rsid w:val="0B1316BA"/>
    <w:rsid w:val="0B493D99"/>
    <w:rsid w:val="0B4963E6"/>
    <w:rsid w:val="0B4B669A"/>
    <w:rsid w:val="0B7829AB"/>
    <w:rsid w:val="0B796263"/>
    <w:rsid w:val="0B84799E"/>
    <w:rsid w:val="0BDE6A12"/>
    <w:rsid w:val="0BE32A6C"/>
    <w:rsid w:val="0BE67FDF"/>
    <w:rsid w:val="0BE9107E"/>
    <w:rsid w:val="0BED7182"/>
    <w:rsid w:val="0BF91683"/>
    <w:rsid w:val="0C28592C"/>
    <w:rsid w:val="0C3C5A98"/>
    <w:rsid w:val="0C445704"/>
    <w:rsid w:val="0C5D60B6"/>
    <w:rsid w:val="0C7C4062"/>
    <w:rsid w:val="0C8C24F7"/>
    <w:rsid w:val="0CC34EB7"/>
    <w:rsid w:val="0CEE5307"/>
    <w:rsid w:val="0D1D3A97"/>
    <w:rsid w:val="0D561884"/>
    <w:rsid w:val="0DB95BBC"/>
    <w:rsid w:val="0DBF4B4E"/>
    <w:rsid w:val="0DD76C89"/>
    <w:rsid w:val="0DDE5A97"/>
    <w:rsid w:val="0DF04812"/>
    <w:rsid w:val="0DF0784A"/>
    <w:rsid w:val="0DFD0FF8"/>
    <w:rsid w:val="0E1E7AC7"/>
    <w:rsid w:val="0E227D01"/>
    <w:rsid w:val="0E2447FF"/>
    <w:rsid w:val="0E2C2D3E"/>
    <w:rsid w:val="0E370B89"/>
    <w:rsid w:val="0E39045D"/>
    <w:rsid w:val="0E4B7D58"/>
    <w:rsid w:val="0E61590B"/>
    <w:rsid w:val="0E671193"/>
    <w:rsid w:val="0E6A098F"/>
    <w:rsid w:val="0E9E4EDC"/>
    <w:rsid w:val="0E9F3D85"/>
    <w:rsid w:val="0EA10C94"/>
    <w:rsid w:val="0EA87391"/>
    <w:rsid w:val="0EC334E1"/>
    <w:rsid w:val="0EC90505"/>
    <w:rsid w:val="0EEC5BEF"/>
    <w:rsid w:val="0EF303E7"/>
    <w:rsid w:val="0F0A004B"/>
    <w:rsid w:val="0F2C1CB1"/>
    <w:rsid w:val="0F3D780B"/>
    <w:rsid w:val="0F5772D6"/>
    <w:rsid w:val="0F7E3979"/>
    <w:rsid w:val="0F980E48"/>
    <w:rsid w:val="0F9F2542"/>
    <w:rsid w:val="0FC04E41"/>
    <w:rsid w:val="0FC7701A"/>
    <w:rsid w:val="0FF00FEF"/>
    <w:rsid w:val="0FF87658"/>
    <w:rsid w:val="0FFC7697"/>
    <w:rsid w:val="10053AC5"/>
    <w:rsid w:val="108005C5"/>
    <w:rsid w:val="10A5627E"/>
    <w:rsid w:val="10AC265A"/>
    <w:rsid w:val="10DF25AA"/>
    <w:rsid w:val="10F60887"/>
    <w:rsid w:val="1111121D"/>
    <w:rsid w:val="11412DFB"/>
    <w:rsid w:val="114A0BD3"/>
    <w:rsid w:val="11501174"/>
    <w:rsid w:val="119D6F55"/>
    <w:rsid w:val="11A915D1"/>
    <w:rsid w:val="11C64A53"/>
    <w:rsid w:val="11CB5358"/>
    <w:rsid w:val="11D46262"/>
    <w:rsid w:val="11E64CE9"/>
    <w:rsid w:val="12462414"/>
    <w:rsid w:val="1255782F"/>
    <w:rsid w:val="125667E4"/>
    <w:rsid w:val="128F30DF"/>
    <w:rsid w:val="129475EE"/>
    <w:rsid w:val="12A83E03"/>
    <w:rsid w:val="12AC6BA5"/>
    <w:rsid w:val="12C30FB1"/>
    <w:rsid w:val="12C96357"/>
    <w:rsid w:val="12D7199F"/>
    <w:rsid w:val="131E5E73"/>
    <w:rsid w:val="135950FD"/>
    <w:rsid w:val="139B657D"/>
    <w:rsid w:val="13D12EE6"/>
    <w:rsid w:val="13D35A4E"/>
    <w:rsid w:val="13F04BE9"/>
    <w:rsid w:val="13F05A62"/>
    <w:rsid w:val="14116EB5"/>
    <w:rsid w:val="142F569A"/>
    <w:rsid w:val="14580540"/>
    <w:rsid w:val="146E27AA"/>
    <w:rsid w:val="146E457B"/>
    <w:rsid w:val="14942891"/>
    <w:rsid w:val="14E00571"/>
    <w:rsid w:val="14E9745F"/>
    <w:rsid w:val="153102F4"/>
    <w:rsid w:val="1532125A"/>
    <w:rsid w:val="15537F46"/>
    <w:rsid w:val="15770025"/>
    <w:rsid w:val="157A5EF7"/>
    <w:rsid w:val="159B37AB"/>
    <w:rsid w:val="15A77E5C"/>
    <w:rsid w:val="15AE113B"/>
    <w:rsid w:val="15BD6180"/>
    <w:rsid w:val="15C63FC7"/>
    <w:rsid w:val="15E92769"/>
    <w:rsid w:val="15FF7F19"/>
    <w:rsid w:val="1631490F"/>
    <w:rsid w:val="16420BA5"/>
    <w:rsid w:val="164269D7"/>
    <w:rsid w:val="1651030E"/>
    <w:rsid w:val="166D15EC"/>
    <w:rsid w:val="16713190"/>
    <w:rsid w:val="1676667C"/>
    <w:rsid w:val="16C910BC"/>
    <w:rsid w:val="16CF73EC"/>
    <w:rsid w:val="16E23132"/>
    <w:rsid w:val="16E946F7"/>
    <w:rsid w:val="16F349C8"/>
    <w:rsid w:val="17002050"/>
    <w:rsid w:val="17105BBE"/>
    <w:rsid w:val="172B26B5"/>
    <w:rsid w:val="176D2B0B"/>
    <w:rsid w:val="178A1D29"/>
    <w:rsid w:val="17A11EB4"/>
    <w:rsid w:val="17A83600"/>
    <w:rsid w:val="17BF5707"/>
    <w:rsid w:val="17CE585E"/>
    <w:rsid w:val="17E94CA2"/>
    <w:rsid w:val="17F51899"/>
    <w:rsid w:val="18163179"/>
    <w:rsid w:val="18307BBE"/>
    <w:rsid w:val="18401F6B"/>
    <w:rsid w:val="18481857"/>
    <w:rsid w:val="184C5EAC"/>
    <w:rsid w:val="185B297E"/>
    <w:rsid w:val="1888436F"/>
    <w:rsid w:val="188E3A9B"/>
    <w:rsid w:val="189866C8"/>
    <w:rsid w:val="18A46C7E"/>
    <w:rsid w:val="18B03A11"/>
    <w:rsid w:val="18C2400D"/>
    <w:rsid w:val="18E65237"/>
    <w:rsid w:val="19152B80"/>
    <w:rsid w:val="1930036E"/>
    <w:rsid w:val="193625E9"/>
    <w:rsid w:val="193B3486"/>
    <w:rsid w:val="19597C05"/>
    <w:rsid w:val="19805A1F"/>
    <w:rsid w:val="199C694B"/>
    <w:rsid w:val="19A15031"/>
    <w:rsid w:val="19A8293B"/>
    <w:rsid w:val="19CA444F"/>
    <w:rsid w:val="19CF276A"/>
    <w:rsid w:val="19F32A0E"/>
    <w:rsid w:val="1A023DF9"/>
    <w:rsid w:val="1A08561C"/>
    <w:rsid w:val="1A09720F"/>
    <w:rsid w:val="1A207566"/>
    <w:rsid w:val="1A3F6F8A"/>
    <w:rsid w:val="1A45483C"/>
    <w:rsid w:val="1A4D7B18"/>
    <w:rsid w:val="1A601178"/>
    <w:rsid w:val="1A6E148E"/>
    <w:rsid w:val="1A7174E2"/>
    <w:rsid w:val="1A8769F4"/>
    <w:rsid w:val="1A8F64E8"/>
    <w:rsid w:val="1A975BEF"/>
    <w:rsid w:val="1AA02B39"/>
    <w:rsid w:val="1AA8066F"/>
    <w:rsid w:val="1AB752ED"/>
    <w:rsid w:val="1AC60B16"/>
    <w:rsid w:val="1AF23E6D"/>
    <w:rsid w:val="1B0E3A0E"/>
    <w:rsid w:val="1B452383"/>
    <w:rsid w:val="1B6E4546"/>
    <w:rsid w:val="1B8D4DF1"/>
    <w:rsid w:val="1BCB6238"/>
    <w:rsid w:val="1BF81957"/>
    <w:rsid w:val="1C4341A3"/>
    <w:rsid w:val="1C59063C"/>
    <w:rsid w:val="1C5A1971"/>
    <w:rsid w:val="1C606DBE"/>
    <w:rsid w:val="1C661E9C"/>
    <w:rsid w:val="1C8B3333"/>
    <w:rsid w:val="1C9A597F"/>
    <w:rsid w:val="1CA8501E"/>
    <w:rsid w:val="1CAA017A"/>
    <w:rsid w:val="1CBD66FD"/>
    <w:rsid w:val="1CE27F12"/>
    <w:rsid w:val="1D06296E"/>
    <w:rsid w:val="1D165A44"/>
    <w:rsid w:val="1D1C3424"/>
    <w:rsid w:val="1D2A4663"/>
    <w:rsid w:val="1D362A73"/>
    <w:rsid w:val="1D487C61"/>
    <w:rsid w:val="1D5B66D1"/>
    <w:rsid w:val="1D9D45A6"/>
    <w:rsid w:val="1D9F0CA4"/>
    <w:rsid w:val="1D9F7794"/>
    <w:rsid w:val="1DA5543D"/>
    <w:rsid w:val="1DCA21E4"/>
    <w:rsid w:val="1DDE60D3"/>
    <w:rsid w:val="1DF80FF8"/>
    <w:rsid w:val="1E002D45"/>
    <w:rsid w:val="1E206409"/>
    <w:rsid w:val="1E326CAA"/>
    <w:rsid w:val="1E4C7488"/>
    <w:rsid w:val="1E722B7B"/>
    <w:rsid w:val="1E7B42E4"/>
    <w:rsid w:val="1EAD5A67"/>
    <w:rsid w:val="1ED3045A"/>
    <w:rsid w:val="1EEF6910"/>
    <w:rsid w:val="1F0B3750"/>
    <w:rsid w:val="1F1406C8"/>
    <w:rsid w:val="1F4A1548"/>
    <w:rsid w:val="1F5B661E"/>
    <w:rsid w:val="1F6135D7"/>
    <w:rsid w:val="1F6B68E4"/>
    <w:rsid w:val="1F914074"/>
    <w:rsid w:val="1F976AD0"/>
    <w:rsid w:val="1FBB33C8"/>
    <w:rsid w:val="1FCA323B"/>
    <w:rsid w:val="1FD04999"/>
    <w:rsid w:val="1FDC333E"/>
    <w:rsid w:val="1FEC417E"/>
    <w:rsid w:val="1FF22238"/>
    <w:rsid w:val="1FF906A7"/>
    <w:rsid w:val="1FFC36C0"/>
    <w:rsid w:val="200A3A07"/>
    <w:rsid w:val="200D0A9D"/>
    <w:rsid w:val="20155A95"/>
    <w:rsid w:val="202962A1"/>
    <w:rsid w:val="203B22C1"/>
    <w:rsid w:val="207C7CA4"/>
    <w:rsid w:val="20971625"/>
    <w:rsid w:val="20AA60DF"/>
    <w:rsid w:val="20BC2305"/>
    <w:rsid w:val="20C95670"/>
    <w:rsid w:val="20D506EC"/>
    <w:rsid w:val="20D57FD2"/>
    <w:rsid w:val="20EB61DA"/>
    <w:rsid w:val="21026DD4"/>
    <w:rsid w:val="21054B39"/>
    <w:rsid w:val="210F0B59"/>
    <w:rsid w:val="211B2738"/>
    <w:rsid w:val="2134416F"/>
    <w:rsid w:val="217E441E"/>
    <w:rsid w:val="2184792E"/>
    <w:rsid w:val="218B794D"/>
    <w:rsid w:val="219A359F"/>
    <w:rsid w:val="21B754B2"/>
    <w:rsid w:val="21C7042A"/>
    <w:rsid w:val="21D74335"/>
    <w:rsid w:val="21F726B1"/>
    <w:rsid w:val="221B32F3"/>
    <w:rsid w:val="22384C4D"/>
    <w:rsid w:val="223D43A4"/>
    <w:rsid w:val="22511DC1"/>
    <w:rsid w:val="225E4509"/>
    <w:rsid w:val="22821786"/>
    <w:rsid w:val="228C4217"/>
    <w:rsid w:val="22FC5A5E"/>
    <w:rsid w:val="23253C52"/>
    <w:rsid w:val="23452850"/>
    <w:rsid w:val="235D7DEB"/>
    <w:rsid w:val="23686CB4"/>
    <w:rsid w:val="23700025"/>
    <w:rsid w:val="23836634"/>
    <w:rsid w:val="239E2D5B"/>
    <w:rsid w:val="23A25866"/>
    <w:rsid w:val="23A423C5"/>
    <w:rsid w:val="23B847F0"/>
    <w:rsid w:val="23CD07E2"/>
    <w:rsid w:val="23DB7F89"/>
    <w:rsid w:val="23E02EAB"/>
    <w:rsid w:val="23F02DE3"/>
    <w:rsid w:val="23F04E92"/>
    <w:rsid w:val="23F94901"/>
    <w:rsid w:val="240E783E"/>
    <w:rsid w:val="24237E5E"/>
    <w:rsid w:val="243674C1"/>
    <w:rsid w:val="2443573A"/>
    <w:rsid w:val="24475A2B"/>
    <w:rsid w:val="244F7AB3"/>
    <w:rsid w:val="24614F21"/>
    <w:rsid w:val="24616A9A"/>
    <w:rsid w:val="24651B54"/>
    <w:rsid w:val="246B4C91"/>
    <w:rsid w:val="247D2672"/>
    <w:rsid w:val="24897977"/>
    <w:rsid w:val="24912949"/>
    <w:rsid w:val="249661B1"/>
    <w:rsid w:val="24A25BB8"/>
    <w:rsid w:val="24BB78F7"/>
    <w:rsid w:val="2527114A"/>
    <w:rsid w:val="25341526"/>
    <w:rsid w:val="25360A75"/>
    <w:rsid w:val="253E0219"/>
    <w:rsid w:val="254D4A4A"/>
    <w:rsid w:val="25753641"/>
    <w:rsid w:val="2582064E"/>
    <w:rsid w:val="25B55675"/>
    <w:rsid w:val="25B97B50"/>
    <w:rsid w:val="25C048C7"/>
    <w:rsid w:val="25D7213A"/>
    <w:rsid w:val="25FC0D4F"/>
    <w:rsid w:val="260256F7"/>
    <w:rsid w:val="26166A53"/>
    <w:rsid w:val="261C26E6"/>
    <w:rsid w:val="26270419"/>
    <w:rsid w:val="26291992"/>
    <w:rsid w:val="263A5FC5"/>
    <w:rsid w:val="26467763"/>
    <w:rsid w:val="265E2CFF"/>
    <w:rsid w:val="2666570F"/>
    <w:rsid w:val="267D0321"/>
    <w:rsid w:val="26841A75"/>
    <w:rsid w:val="26C22CF2"/>
    <w:rsid w:val="26DA3F62"/>
    <w:rsid w:val="26EB02F3"/>
    <w:rsid w:val="272555CB"/>
    <w:rsid w:val="27317189"/>
    <w:rsid w:val="275B4AC6"/>
    <w:rsid w:val="275E254F"/>
    <w:rsid w:val="2775428B"/>
    <w:rsid w:val="27764078"/>
    <w:rsid w:val="27A43A07"/>
    <w:rsid w:val="27B53343"/>
    <w:rsid w:val="27B80764"/>
    <w:rsid w:val="27C7049C"/>
    <w:rsid w:val="27DC212D"/>
    <w:rsid w:val="27ED7703"/>
    <w:rsid w:val="27EE4DAA"/>
    <w:rsid w:val="27F80375"/>
    <w:rsid w:val="282E2931"/>
    <w:rsid w:val="28411105"/>
    <w:rsid w:val="28575C58"/>
    <w:rsid w:val="28702CA5"/>
    <w:rsid w:val="287B7473"/>
    <w:rsid w:val="28A569C3"/>
    <w:rsid w:val="28B704A4"/>
    <w:rsid w:val="28C87149"/>
    <w:rsid w:val="28CD2CCA"/>
    <w:rsid w:val="28DB23E5"/>
    <w:rsid w:val="28E16B4E"/>
    <w:rsid w:val="28E2060D"/>
    <w:rsid w:val="28F03CB0"/>
    <w:rsid w:val="290B324C"/>
    <w:rsid w:val="29504E01"/>
    <w:rsid w:val="29A8435F"/>
    <w:rsid w:val="29A92E81"/>
    <w:rsid w:val="29C527D7"/>
    <w:rsid w:val="2A33379A"/>
    <w:rsid w:val="2A37043A"/>
    <w:rsid w:val="2A4445C9"/>
    <w:rsid w:val="2A4F2C7C"/>
    <w:rsid w:val="2A5560E3"/>
    <w:rsid w:val="2A5B5F95"/>
    <w:rsid w:val="2AAD1AD9"/>
    <w:rsid w:val="2ACD5C73"/>
    <w:rsid w:val="2AF40211"/>
    <w:rsid w:val="2B4D2FBE"/>
    <w:rsid w:val="2B4D4B49"/>
    <w:rsid w:val="2B654E79"/>
    <w:rsid w:val="2B697332"/>
    <w:rsid w:val="2B876854"/>
    <w:rsid w:val="2B886128"/>
    <w:rsid w:val="2B8F74B6"/>
    <w:rsid w:val="2B92570E"/>
    <w:rsid w:val="2BBC3B7F"/>
    <w:rsid w:val="2BC2163A"/>
    <w:rsid w:val="2BD65BFE"/>
    <w:rsid w:val="2C0734F1"/>
    <w:rsid w:val="2C2C11A9"/>
    <w:rsid w:val="2C3C2722"/>
    <w:rsid w:val="2C6C24DF"/>
    <w:rsid w:val="2C864E97"/>
    <w:rsid w:val="2C8763E0"/>
    <w:rsid w:val="2C8A6E9B"/>
    <w:rsid w:val="2CA173BB"/>
    <w:rsid w:val="2CAC1C48"/>
    <w:rsid w:val="2CCA2E9C"/>
    <w:rsid w:val="2CD5741D"/>
    <w:rsid w:val="2CF0283D"/>
    <w:rsid w:val="2D060C63"/>
    <w:rsid w:val="2D2163E4"/>
    <w:rsid w:val="2D4E1FBB"/>
    <w:rsid w:val="2D7B4196"/>
    <w:rsid w:val="2D8B7A0C"/>
    <w:rsid w:val="2DAD5117"/>
    <w:rsid w:val="2DB2017D"/>
    <w:rsid w:val="2DC90414"/>
    <w:rsid w:val="2DD97590"/>
    <w:rsid w:val="2DE33D57"/>
    <w:rsid w:val="2DEF1383"/>
    <w:rsid w:val="2DF440BE"/>
    <w:rsid w:val="2E0D0F34"/>
    <w:rsid w:val="2E236CCA"/>
    <w:rsid w:val="2E2A34C6"/>
    <w:rsid w:val="2E31283A"/>
    <w:rsid w:val="2E3A6261"/>
    <w:rsid w:val="2E4B2482"/>
    <w:rsid w:val="2E56075F"/>
    <w:rsid w:val="2E734F31"/>
    <w:rsid w:val="2E75531B"/>
    <w:rsid w:val="2E917F80"/>
    <w:rsid w:val="2EB060C2"/>
    <w:rsid w:val="2F1349BA"/>
    <w:rsid w:val="2F171A28"/>
    <w:rsid w:val="2F25260C"/>
    <w:rsid w:val="2F3F004D"/>
    <w:rsid w:val="2F413F68"/>
    <w:rsid w:val="2F500587"/>
    <w:rsid w:val="2F5423FB"/>
    <w:rsid w:val="2F73718F"/>
    <w:rsid w:val="2F741441"/>
    <w:rsid w:val="2F7431E9"/>
    <w:rsid w:val="2F957C52"/>
    <w:rsid w:val="2F962E95"/>
    <w:rsid w:val="2FCB2C29"/>
    <w:rsid w:val="2FDA1240"/>
    <w:rsid w:val="2FED29FE"/>
    <w:rsid w:val="30073ABF"/>
    <w:rsid w:val="3031359C"/>
    <w:rsid w:val="30403B93"/>
    <w:rsid w:val="304E1A43"/>
    <w:rsid w:val="308B2942"/>
    <w:rsid w:val="30C01536"/>
    <w:rsid w:val="30C12B41"/>
    <w:rsid w:val="30D4663B"/>
    <w:rsid w:val="30D470CC"/>
    <w:rsid w:val="30DC4F4C"/>
    <w:rsid w:val="30E57CC3"/>
    <w:rsid w:val="30EB518F"/>
    <w:rsid w:val="30FC4098"/>
    <w:rsid w:val="315E0057"/>
    <w:rsid w:val="31645047"/>
    <w:rsid w:val="31884247"/>
    <w:rsid w:val="31902723"/>
    <w:rsid w:val="31975317"/>
    <w:rsid w:val="31B22151"/>
    <w:rsid w:val="31E7164A"/>
    <w:rsid w:val="31FE7144"/>
    <w:rsid w:val="321C4C6E"/>
    <w:rsid w:val="324B5715"/>
    <w:rsid w:val="325F383F"/>
    <w:rsid w:val="327F57C8"/>
    <w:rsid w:val="32877139"/>
    <w:rsid w:val="329C5387"/>
    <w:rsid w:val="32B0398B"/>
    <w:rsid w:val="32CE68C3"/>
    <w:rsid w:val="32D3237F"/>
    <w:rsid w:val="32DD447F"/>
    <w:rsid w:val="32DD60C2"/>
    <w:rsid w:val="32F636EC"/>
    <w:rsid w:val="32FA5B5D"/>
    <w:rsid w:val="32FB672E"/>
    <w:rsid w:val="32FD11AA"/>
    <w:rsid w:val="333C7F24"/>
    <w:rsid w:val="336C1A34"/>
    <w:rsid w:val="33A963A2"/>
    <w:rsid w:val="33AE7B52"/>
    <w:rsid w:val="33CF0D98"/>
    <w:rsid w:val="33CF4339"/>
    <w:rsid w:val="33F407FF"/>
    <w:rsid w:val="3409054A"/>
    <w:rsid w:val="34245C73"/>
    <w:rsid w:val="34360A94"/>
    <w:rsid w:val="343C39DB"/>
    <w:rsid w:val="344A041F"/>
    <w:rsid w:val="346C7D01"/>
    <w:rsid w:val="348222AE"/>
    <w:rsid w:val="3489607A"/>
    <w:rsid w:val="34952CE3"/>
    <w:rsid w:val="34AF6AD4"/>
    <w:rsid w:val="34C67CA4"/>
    <w:rsid w:val="34CC54B4"/>
    <w:rsid w:val="34D858E4"/>
    <w:rsid w:val="34EC38B3"/>
    <w:rsid w:val="35063AE8"/>
    <w:rsid w:val="35156C7E"/>
    <w:rsid w:val="35227835"/>
    <w:rsid w:val="35356729"/>
    <w:rsid w:val="353A037B"/>
    <w:rsid w:val="35421B20"/>
    <w:rsid w:val="3565534B"/>
    <w:rsid w:val="356A40D2"/>
    <w:rsid w:val="35B9585C"/>
    <w:rsid w:val="35B96811"/>
    <w:rsid w:val="35C8373A"/>
    <w:rsid w:val="35CD1307"/>
    <w:rsid w:val="35E36D7D"/>
    <w:rsid w:val="361642A1"/>
    <w:rsid w:val="362451AC"/>
    <w:rsid w:val="36286772"/>
    <w:rsid w:val="36332EFE"/>
    <w:rsid w:val="36AB13F4"/>
    <w:rsid w:val="36B032BB"/>
    <w:rsid w:val="36EC1C61"/>
    <w:rsid w:val="37114931"/>
    <w:rsid w:val="373274E9"/>
    <w:rsid w:val="37517D16"/>
    <w:rsid w:val="3759093A"/>
    <w:rsid w:val="377D0B0B"/>
    <w:rsid w:val="379632D3"/>
    <w:rsid w:val="37991AEF"/>
    <w:rsid w:val="37A23C11"/>
    <w:rsid w:val="37E66B23"/>
    <w:rsid w:val="37E949A5"/>
    <w:rsid w:val="38056EE1"/>
    <w:rsid w:val="38234B8E"/>
    <w:rsid w:val="38521788"/>
    <w:rsid w:val="385C4F90"/>
    <w:rsid w:val="3872244A"/>
    <w:rsid w:val="387C2EC7"/>
    <w:rsid w:val="38802F1D"/>
    <w:rsid w:val="38A17D7D"/>
    <w:rsid w:val="38B642D4"/>
    <w:rsid w:val="38D47048"/>
    <w:rsid w:val="38D502C8"/>
    <w:rsid w:val="38F117B0"/>
    <w:rsid w:val="38F8796D"/>
    <w:rsid w:val="390B7D99"/>
    <w:rsid w:val="39180006"/>
    <w:rsid w:val="39331160"/>
    <w:rsid w:val="394F0285"/>
    <w:rsid w:val="39747F69"/>
    <w:rsid w:val="39EF3F42"/>
    <w:rsid w:val="3A147A60"/>
    <w:rsid w:val="3A157721"/>
    <w:rsid w:val="3A23387A"/>
    <w:rsid w:val="3A54031E"/>
    <w:rsid w:val="3A541CCE"/>
    <w:rsid w:val="3A845A97"/>
    <w:rsid w:val="3AA7481D"/>
    <w:rsid w:val="3AE036D2"/>
    <w:rsid w:val="3AFB1BD6"/>
    <w:rsid w:val="3B212691"/>
    <w:rsid w:val="3B234C74"/>
    <w:rsid w:val="3B58481A"/>
    <w:rsid w:val="3B620744"/>
    <w:rsid w:val="3B7D0374"/>
    <w:rsid w:val="3B7D37CF"/>
    <w:rsid w:val="3B974FE5"/>
    <w:rsid w:val="3BD01B44"/>
    <w:rsid w:val="3BD86C58"/>
    <w:rsid w:val="3BDC04F6"/>
    <w:rsid w:val="3BE705F6"/>
    <w:rsid w:val="3BF97439"/>
    <w:rsid w:val="3BFD1E94"/>
    <w:rsid w:val="3C40376A"/>
    <w:rsid w:val="3C485B8B"/>
    <w:rsid w:val="3C516CC1"/>
    <w:rsid w:val="3C541977"/>
    <w:rsid w:val="3C544302"/>
    <w:rsid w:val="3C5E4D99"/>
    <w:rsid w:val="3C763676"/>
    <w:rsid w:val="3CA76FED"/>
    <w:rsid w:val="3CCE6909"/>
    <w:rsid w:val="3CD825B8"/>
    <w:rsid w:val="3CED0B75"/>
    <w:rsid w:val="3CEE4F94"/>
    <w:rsid w:val="3D001FC2"/>
    <w:rsid w:val="3D090085"/>
    <w:rsid w:val="3D122796"/>
    <w:rsid w:val="3D2C725B"/>
    <w:rsid w:val="3D2D6F53"/>
    <w:rsid w:val="3D5F5C54"/>
    <w:rsid w:val="3D662FF5"/>
    <w:rsid w:val="3D736C38"/>
    <w:rsid w:val="3D8B0450"/>
    <w:rsid w:val="3DA02ADC"/>
    <w:rsid w:val="3DC15BF5"/>
    <w:rsid w:val="3DD75419"/>
    <w:rsid w:val="3DDD0555"/>
    <w:rsid w:val="3DE649E2"/>
    <w:rsid w:val="3DEE62BF"/>
    <w:rsid w:val="3E1A17E4"/>
    <w:rsid w:val="3E42660A"/>
    <w:rsid w:val="3E7C4091"/>
    <w:rsid w:val="3E8E6F9C"/>
    <w:rsid w:val="3E96728E"/>
    <w:rsid w:val="3EA87EB5"/>
    <w:rsid w:val="3EAD7098"/>
    <w:rsid w:val="3EB47A6E"/>
    <w:rsid w:val="3EB5502E"/>
    <w:rsid w:val="3EBC6464"/>
    <w:rsid w:val="3ECF7F76"/>
    <w:rsid w:val="3EF25FE9"/>
    <w:rsid w:val="3EF43280"/>
    <w:rsid w:val="3EF769DD"/>
    <w:rsid w:val="3F033C2D"/>
    <w:rsid w:val="3F051B12"/>
    <w:rsid w:val="3F0F0039"/>
    <w:rsid w:val="3F17663C"/>
    <w:rsid w:val="3F245E13"/>
    <w:rsid w:val="3F331843"/>
    <w:rsid w:val="3F380248"/>
    <w:rsid w:val="3F3E01CD"/>
    <w:rsid w:val="3F432AC4"/>
    <w:rsid w:val="3F6031FB"/>
    <w:rsid w:val="3F93575F"/>
    <w:rsid w:val="3FC353BD"/>
    <w:rsid w:val="3FC41120"/>
    <w:rsid w:val="3FEF15FE"/>
    <w:rsid w:val="3FFE4076"/>
    <w:rsid w:val="40012C5D"/>
    <w:rsid w:val="400F5016"/>
    <w:rsid w:val="40260693"/>
    <w:rsid w:val="403178F8"/>
    <w:rsid w:val="4034415E"/>
    <w:rsid w:val="4043606C"/>
    <w:rsid w:val="40561C75"/>
    <w:rsid w:val="40827192"/>
    <w:rsid w:val="4094688D"/>
    <w:rsid w:val="409E0DFA"/>
    <w:rsid w:val="40C36CC0"/>
    <w:rsid w:val="40D92E19"/>
    <w:rsid w:val="40EA138C"/>
    <w:rsid w:val="41180BED"/>
    <w:rsid w:val="411C3E07"/>
    <w:rsid w:val="41437E9D"/>
    <w:rsid w:val="4173799C"/>
    <w:rsid w:val="41801BA6"/>
    <w:rsid w:val="418D2C6B"/>
    <w:rsid w:val="41CE08E1"/>
    <w:rsid w:val="41D001C0"/>
    <w:rsid w:val="41E2438C"/>
    <w:rsid w:val="41E52935"/>
    <w:rsid w:val="421D5DE8"/>
    <w:rsid w:val="4227428A"/>
    <w:rsid w:val="423C5898"/>
    <w:rsid w:val="42562ED6"/>
    <w:rsid w:val="426B4382"/>
    <w:rsid w:val="427C238B"/>
    <w:rsid w:val="42B646DD"/>
    <w:rsid w:val="42C91BD9"/>
    <w:rsid w:val="42D70848"/>
    <w:rsid w:val="42DD2ABE"/>
    <w:rsid w:val="42E028CE"/>
    <w:rsid w:val="42E92BBD"/>
    <w:rsid w:val="42F05DE2"/>
    <w:rsid w:val="42F51FEF"/>
    <w:rsid w:val="430026EC"/>
    <w:rsid w:val="43026BA7"/>
    <w:rsid w:val="430A3637"/>
    <w:rsid w:val="432A7D99"/>
    <w:rsid w:val="432C269E"/>
    <w:rsid w:val="433F136A"/>
    <w:rsid w:val="435A7F52"/>
    <w:rsid w:val="435E54C7"/>
    <w:rsid w:val="437B2EB3"/>
    <w:rsid w:val="43A16FB4"/>
    <w:rsid w:val="43A22025"/>
    <w:rsid w:val="43B518A2"/>
    <w:rsid w:val="43C206C0"/>
    <w:rsid w:val="43D403D5"/>
    <w:rsid w:val="43EF4B3E"/>
    <w:rsid w:val="43F338A5"/>
    <w:rsid w:val="440A7BCA"/>
    <w:rsid w:val="44185535"/>
    <w:rsid w:val="44241253"/>
    <w:rsid w:val="442A0DE4"/>
    <w:rsid w:val="442E6770"/>
    <w:rsid w:val="44307631"/>
    <w:rsid w:val="44464B80"/>
    <w:rsid w:val="44476729"/>
    <w:rsid w:val="4452198B"/>
    <w:rsid w:val="44632C65"/>
    <w:rsid w:val="446874EF"/>
    <w:rsid w:val="4496259E"/>
    <w:rsid w:val="449C3201"/>
    <w:rsid w:val="449C6B56"/>
    <w:rsid w:val="44C905EA"/>
    <w:rsid w:val="44F96F89"/>
    <w:rsid w:val="45387869"/>
    <w:rsid w:val="454B35B1"/>
    <w:rsid w:val="45521829"/>
    <w:rsid w:val="458614D2"/>
    <w:rsid w:val="45B372F8"/>
    <w:rsid w:val="45BC0ADB"/>
    <w:rsid w:val="45C87195"/>
    <w:rsid w:val="45EB1CCC"/>
    <w:rsid w:val="45F77BDC"/>
    <w:rsid w:val="45F823D0"/>
    <w:rsid w:val="460F7714"/>
    <w:rsid w:val="4611106A"/>
    <w:rsid w:val="46142721"/>
    <w:rsid w:val="463D4E1D"/>
    <w:rsid w:val="46427D24"/>
    <w:rsid w:val="464E1FF0"/>
    <w:rsid w:val="46655074"/>
    <w:rsid w:val="4674757D"/>
    <w:rsid w:val="46845A12"/>
    <w:rsid w:val="46B12EFB"/>
    <w:rsid w:val="46C95B1B"/>
    <w:rsid w:val="46D71CAD"/>
    <w:rsid w:val="46F22B89"/>
    <w:rsid w:val="47217A37"/>
    <w:rsid w:val="47466FB1"/>
    <w:rsid w:val="474D6E84"/>
    <w:rsid w:val="475E44B5"/>
    <w:rsid w:val="478277E2"/>
    <w:rsid w:val="478C50BE"/>
    <w:rsid w:val="47B16CDB"/>
    <w:rsid w:val="47CF38C5"/>
    <w:rsid w:val="48101A5A"/>
    <w:rsid w:val="481D7ECC"/>
    <w:rsid w:val="482A06E0"/>
    <w:rsid w:val="48387027"/>
    <w:rsid w:val="48437548"/>
    <w:rsid w:val="484C255F"/>
    <w:rsid w:val="485D476D"/>
    <w:rsid w:val="48684EBF"/>
    <w:rsid w:val="48733E61"/>
    <w:rsid w:val="48892E91"/>
    <w:rsid w:val="48934632"/>
    <w:rsid w:val="48981C49"/>
    <w:rsid w:val="48C04CFB"/>
    <w:rsid w:val="48D03190"/>
    <w:rsid w:val="48F73AD3"/>
    <w:rsid w:val="48F87218"/>
    <w:rsid w:val="490D5AC4"/>
    <w:rsid w:val="491341E7"/>
    <w:rsid w:val="49227202"/>
    <w:rsid w:val="493674C2"/>
    <w:rsid w:val="495270B8"/>
    <w:rsid w:val="495D32FD"/>
    <w:rsid w:val="496614F3"/>
    <w:rsid w:val="497416ED"/>
    <w:rsid w:val="497F6965"/>
    <w:rsid w:val="498847EC"/>
    <w:rsid w:val="49937592"/>
    <w:rsid w:val="49C11763"/>
    <w:rsid w:val="49C201B4"/>
    <w:rsid w:val="49DE368B"/>
    <w:rsid w:val="49E07403"/>
    <w:rsid w:val="49FF5AFE"/>
    <w:rsid w:val="4A1A7E4C"/>
    <w:rsid w:val="4A325785"/>
    <w:rsid w:val="4A6F1AE3"/>
    <w:rsid w:val="4A7F359C"/>
    <w:rsid w:val="4A981A8C"/>
    <w:rsid w:val="4AAD7D58"/>
    <w:rsid w:val="4AD52EC7"/>
    <w:rsid w:val="4ADB62B5"/>
    <w:rsid w:val="4AE90539"/>
    <w:rsid w:val="4AFC64BF"/>
    <w:rsid w:val="4B193F45"/>
    <w:rsid w:val="4B6F0A63"/>
    <w:rsid w:val="4B95421D"/>
    <w:rsid w:val="4B9C5492"/>
    <w:rsid w:val="4BA1493E"/>
    <w:rsid w:val="4BB072F9"/>
    <w:rsid w:val="4BC845F3"/>
    <w:rsid w:val="4BCD37AC"/>
    <w:rsid w:val="4BD7688D"/>
    <w:rsid w:val="4BE3142D"/>
    <w:rsid w:val="4BEF0137"/>
    <w:rsid w:val="4BF94CF9"/>
    <w:rsid w:val="4C0E5624"/>
    <w:rsid w:val="4C170309"/>
    <w:rsid w:val="4C1A1042"/>
    <w:rsid w:val="4C1D54D7"/>
    <w:rsid w:val="4C2876B8"/>
    <w:rsid w:val="4C39104D"/>
    <w:rsid w:val="4C3B7578"/>
    <w:rsid w:val="4C552E65"/>
    <w:rsid w:val="4C980A52"/>
    <w:rsid w:val="4CBB0B2F"/>
    <w:rsid w:val="4CC05272"/>
    <w:rsid w:val="4CC81FE7"/>
    <w:rsid w:val="4CCD3E12"/>
    <w:rsid w:val="4CE37103"/>
    <w:rsid w:val="4CFD569A"/>
    <w:rsid w:val="4D0C0724"/>
    <w:rsid w:val="4D2539F1"/>
    <w:rsid w:val="4D286018"/>
    <w:rsid w:val="4D4B6E6D"/>
    <w:rsid w:val="4D722A68"/>
    <w:rsid w:val="4D74462E"/>
    <w:rsid w:val="4D7666C2"/>
    <w:rsid w:val="4DDA0575"/>
    <w:rsid w:val="4DE14C7E"/>
    <w:rsid w:val="4DF16C52"/>
    <w:rsid w:val="4E0D2791"/>
    <w:rsid w:val="4E226070"/>
    <w:rsid w:val="4E493542"/>
    <w:rsid w:val="4E8770E5"/>
    <w:rsid w:val="4E897640"/>
    <w:rsid w:val="4EA70F31"/>
    <w:rsid w:val="4F0C0C9A"/>
    <w:rsid w:val="4F0E4A13"/>
    <w:rsid w:val="4F2D12C2"/>
    <w:rsid w:val="4F3A582F"/>
    <w:rsid w:val="4F416B96"/>
    <w:rsid w:val="4F4C1097"/>
    <w:rsid w:val="4F6463E1"/>
    <w:rsid w:val="4F7E05E5"/>
    <w:rsid w:val="4F8F5F34"/>
    <w:rsid w:val="4F9B7E10"/>
    <w:rsid w:val="4FB2172F"/>
    <w:rsid w:val="4FB27564"/>
    <w:rsid w:val="4FB27ACC"/>
    <w:rsid w:val="4FB3209D"/>
    <w:rsid w:val="4FB87E38"/>
    <w:rsid w:val="4FF46DA9"/>
    <w:rsid w:val="4FF61E4F"/>
    <w:rsid w:val="500100D3"/>
    <w:rsid w:val="50087D27"/>
    <w:rsid w:val="50294259"/>
    <w:rsid w:val="50353BC5"/>
    <w:rsid w:val="503A57CF"/>
    <w:rsid w:val="506A05FA"/>
    <w:rsid w:val="508942AC"/>
    <w:rsid w:val="5097506E"/>
    <w:rsid w:val="50A20D78"/>
    <w:rsid w:val="50BD00D4"/>
    <w:rsid w:val="50C45B83"/>
    <w:rsid w:val="50EE0810"/>
    <w:rsid w:val="50F639B0"/>
    <w:rsid w:val="51075C82"/>
    <w:rsid w:val="510916FB"/>
    <w:rsid w:val="5127307B"/>
    <w:rsid w:val="51371EDB"/>
    <w:rsid w:val="513D513B"/>
    <w:rsid w:val="51551133"/>
    <w:rsid w:val="51654C13"/>
    <w:rsid w:val="518347D2"/>
    <w:rsid w:val="51A11B0F"/>
    <w:rsid w:val="51D146EA"/>
    <w:rsid w:val="51F60855"/>
    <w:rsid w:val="52007CE1"/>
    <w:rsid w:val="521053C8"/>
    <w:rsid w:val="52136929"/>
    <w:rsid w:val="521B6ECB"/>
    <w:rsid w:val="521F2E69"/>
    <w:rsid w:val="52201F5E"/>
    <w:rsid w:val="523F23C8"/>
    <w:rsid w:val="527C17E5"/>
    <w:rsid w:val="527C2382"/>
    <w:rsid w:val="527C5D6B"/>
    <w:rsid w:val="529360DA"/>
    <w:rsid w:val="52B62B95"/>
    <w:rsid w:val="52CB4047"/>
    <w:rsid w:val="52D95337"/>
    <w:rsid w:val="52F50C02"/>
    <w:rsid w:val="52F97788"/>
    <w:rsid w:val="533D58C6"/>
    <w:rsid w:val="53476745"/>
    <w:rsid w:val="534B6982"/>
    <w:rsid w:val="53514000"/>
    <w:rsid w:val="535B2EEB"/>
    <w:rsid w:val="53833A66"/>
    <w:rsid w:val="539C08B3"/>
    <w:rsid w:val="53B11E10"/>
    <w:rsid w:val="53B42E1A"/>
    <w:rsid w:val="53DA09E9"/>
    <w:rsid w:val="53FD60AC"/>
    <w:rsid w:val="5447110F"/>
    <w:rsid w:val="547607A9"/>
    <w:rsid w:val="54C309F6"/>
    <w:rsid w:val="55101BB9"/>
    <w:rsid w:val="552C0EDB"/>
    <w:rsid w:val="556A2277"/>
    <w:rsid w:val="55774994"/>
    <w:rsid w:val="558C477E"/>
    <w:rsid w:val="559B0549"/>
    <w:rsid w:val="559B2D78"/>
    <w:rsid w:val="559E0172"/>
    <w:rsid w:val="55D27ACD"/>
    <w:rsid w:val="55DA2F77"/>
    <w:rsid w:val="55FE764C"/>
    <w:rsid w:val="56332FB1"/>
    <w:rsid w:val="56337E0C"/>
    <w:rsid w:val="564E7DEA"/>
    <w:rsid w:val="56A17F1A"/>
    <w:rsid w:val="56A56FA2"/>
    <w:rsid w:val="56A623AC"/>
    <w:rsid w:val="56E0521A"/>
    <w:rsid w:val="571B5968"/>
    <w:rsid w:val="572C012C"/>
    <w:rsid w:val="57452F9B"/>
    <w:rsid w:val="57565722"/>
    <w:rsid w:val="57636D52"/>
    <w:rsid w:val="57661FE6"/>
    <w:rsid w:val="57891BB3"/>
    <w:rsid w:val="57900BA7"/>
    <w:rsid w:val="57A90EE1"/>
    <w:rsid w:val="57B17AA6"/>
    <w:rsid w:val="57CD0549"/>
    <w:rsid w:val="57D844ED"/>
    <w:rsid w:val="57E15876"/>
    <w:rsid w:val="57EA02F9"/>
    <w:rsid w:val="58003366"/>
    <w:rsid w:val="58276CD6"/>
    <w:rsid w:val="58394307"/>
    <w:rsid w:val="583A0626"/>
    <w:rsid w:val="584609FC"/>
    <w:rsid w:val="585873C6"/>
    <w:rsid w:val="587643A0"/>
    <w:rsid w:val="5888236D"/>
    <w:rsid w:val="58906F0B"/>
    <w:rsid w:val="58D06B21"/>
    <w:rsid w:val="58F41D52"/>
    <w:rsid w:val="58FC242D"/>
    <w:rsid w:val="590A4225"/>
    <w:rsid w:val="591B6BEA"/>
    <w:rsid w:val="592B61C1"/>
    <w:rsid w:val="59554FEC"/>
    <w:rsid w:val="59594ADC"/>
    <w:rsid w:val="596D2336"/>
    <w:rsid w:val="597C7A70"/>
    <w:rsid w:val="59815DE1"/>
    <w:rsid w:val="59A33FA9"/>
    <w:rsid w:val="59C83A10"/>
    <w:rsid w:val="59C93204"/>
    <w:rsid w:val="5A086394"/>
    <w:rsid w:val="5A163523"/>
    <w:rsid w:val="5A2A0854"/>
    <w:rsid w:val="5A562622"/>
    <w:rsid w:val="5A5D627C"/>
    <w:rsid w:val="5A687D75"/>
    <w:rsid w:val="5A821AD5"/>
    <w:rsid w:val="5AC8735F"/>
    <w:rsid w:val="5AE46A14"/>
    <w:rsid w:val="5B0D5B7E"/>
    <w:rsid w:val="5B264E92"/>
    <w:rsid w:val="5B3538C6"/>
    <w:rsid w:val="5B694D7F"/>
    <w:rsid w:val="5BA1276A"/>
    <w:rsid w:val="5BBE331C"/>
    <w:rsid w:val="5BCD17B1"/>
    <w:rsid w:val="5BDB509E"/>
    <w:rsid w:val="5BE865EB"/>
    <w:rsid w:val="5BEA4111"/>
    <w:rsid w:val="5BED73DF"/>
    <w:rsid w:val="5C157456"/>
    <w:rsid w:val="5C1E6FD7"/>
    <w:rsid w:val="5C34586C"/>
    <w:rsid w:val="5C4A7263"/>
    <w:rsid w:val="5C942D65"/>
    <w:rsid w:val="5C9522CF"/>
    <w:rsid w:val="5CC33B89"/>
    <w:rsid w:val="5CF92974"/>
    <w:rsid w:val="5D170BA2"/>
    <w:rsid w:val="5D2832DC"/>
    <w:rsid w:val="5D746389"/>
    <w:rsid w:val="5DA2079C"/>
    <w:rsid w:val="5DAA1DAA"/>
    <w:rsid w:val="5DE44ECD"/>
    <w:rsid w:val="5DE76E44"/>
    <w:rsid w:val="5DF27226"/>
    <w:rsid w:val="5E0A0A9B"/>
    <w:rsid w:val="5E1D2114"/>
    <w:rsid w:val="5E2129D2"/>
    <w:rsid w:val="5E231B5D"/>
    <w:rsid w:val="5E2F405E"/>
    <w:rsid w:val="5E547BF9"/>
    <w:rsid w:val="5E6F1AB4"/>
    <w:rsid w:val="5E9F1736"/>
    <w:rsid w:val="5EB909A7"/>
    <w:rsid w:val="5ED15115"/>
    <w:rsid w:val="5EDD2943"/>
    <w:rsid w:val="5F0674B4"/>
    <w:rsid w:val="5F636A08"/>
    <w:rsid w:val="5F681F1D"/>
    <w:rsid w:val="5F754B28"/>
    <w:rsid w:val="5F845BA8"/>
    <w:rsid w:val="5F925800"/>
    <w:rsid w:val="5F995D02"/>
    <w:rsid w:val="5FA251FB"/>
    <w:rsid w:val="5FB27537"/>
    <w:rsid w:val="5FBC7B73"/>
    <w:rsid w:val="5FC14D6E"/>
    <w:rsid w:val="5FEF4AD8"/>
    <w:rsid w:val="5FEF55AD"/>
    <w:rsid w:val="5FF27777"/>
    <w:rsid w:val="60030985"/>
    <w:rsid w:val="601703D2"/>
    <w:rsid w:val="601E0C10"/>
    <w:rsid w:val="602C1EF2"/>
    <w:rsid w:val="6031582A"/>
    <w:rsid w:val="604659E4"/>
    <w:rsid w:val="60584667"/>
    <w:rsid w:val="605929AB"/>
    <w:rsid w:val="60945730"/>
    <w:rsid w:val="60A66167"/>
    <w:rsid w:val="60AA0313"/>
    <w:rsid w:val="60ED2529"/>
    <w:rsid w:val="60F964DF"/>
    <w:rsid w:val="61045AC5"/>
    <w:rsid w:val="61082472"/>
    <w:rsid w:val="61151C31"/>
    <w:rsid w:val="612658E8"/>
    <w:rsid w:val="612A7851"/>
    <w:rsid w:val="61335B24"/>
    <w:rsid w:val="613C2B30"/>
    <w:rsid w:val="6151078F"/>
    <w:rsid w:val="6163355E"/>
    <w:rsid w:val="61721F43"/>
    <w:rsid w:val="61725D94"/>
    <w:rsid w:val="61844C5B"/>
    <w:rsid w:val="61883E26"/>
    <w:rsid w:val="6193693A"/>
    <w:rsid w:val="61F10CFF"/>
    <w:rsid w:val="62045801"/>
    <w:rsid w:val="622D43C5"/>
    <w:rsid w:val="62426A55"/>
    <w:rsid w:val="625E4DEF"/>
    <w:rsid w:val="626562A0"/>
    <w:rsid w:val="62656DED"/>
    <w:rsid w:val="62685D90"/>
    <w:rsid w:val="626A670D"/>
    <w:rsid w:val="62792600"/>
    <w:rsid w:val="62933F64"/>
    <w:rsid w:val="629C6AB7"/>
    <w:rsid w:val="62B62886"/>
    <w:rsid w:val="62C43A27"/>
    <w:rsid w:val="62C456BC"/>
    <w:rsid w:val="62F43CDF"/>
    <w:rsid w:val="62FB0257"/>
    <w:rsid w:val="6300246C"/>
    <w:rsid w:val="63070B0D"/>
    <w:rsid w:val="63141B38"/>
    <w:rsid w:val="632C7191"/>
    <w:rsid w:val="63511EA6"/>
    <w:rsid w:val="63707F90"/>
    <w:rsid w:val="63757C81"/>
    <w:rsid w:val="63AB687C"/>
    <w:rsid w:val="63B05863"/>
    <w:rsid w:val="63C378B8"/>
    <w:rsid w:val="63CC40F4"/>
    <w:rsid w:val="64006F9C"/>
    <w:rsid w:val="6403685F"/>
    <w:rsid w:val="641E1017"/>
    <w:rsid w:val="642949FB"/>
    <w:rsid w:val="6431099A"/>
    <w:rsid w:val="64526DA7"/>
    <w:rsid w:val="646E789B"/>
    <w:rsid w:val="6477050C"/>
    <w:rsid w:val="64782F6F"/>
    <w:rsid w:val="64A31301"/>
    <w:rsid w:val="64D051F2"/>
    <w:rsid w:val="65636BE4"/>
    <w:rsid w:val="657D1E6C"/>
    <w:rsid w:val="6587477F"/>
    <w:rsid w:val="65A610A9"/>
    <w:rsid w:val="65AE5FB6"/>
    <w:rsid w:val="65B036BC"/>
    <w:rsid w:val="65C015F1"/>
    <w:rsid w:val="65E707B8"/>
    <w:rsid w:val="6601471A"/>
    <w:rsid w:val="66187ACD"/>
    <w:rsid w:val="66344CC4"/>
    <w:rsid w:val="66407ACA"/>
    <w:rsid w:val="66573467"/>
    <w:rsid w:val="666810F5"/>
    <w:rsid w:val="666B5E4F"/>
    <w:rsid w:val="66913D8B"/>
    <w:rsid w:val="66AF2882"/>
    <w:rsid w:val="66B838FF"/>
    <w:rsid w:val="66C11F13"/>
    <w:rsid w:val="66DC53A6"/>
    <w:rsid w:val="66E07F25"/>
    <w:rsid w:val="67095D94"/>
    <w:rsid w:val="671E72B1"/>
    <w:rsid w:val="67221ADD"/>
    <w:rsid w:val="673A5221"/>
    <w:rsid w:val="673C2709"/>
    <w:rsid w:val="675D1C3B"/>
    <w:rsid w:val="67803A42"/>
    <w:rsid w:val="67892A30"/>
    <w:rsid w:val="679B1D79"/>
    <w:rsid w:val="67A7735B"/>
    <w:rsid w:val="67B51A77"/>
    <w:rsid w:val="67E07DD5"/>
    <w:rsid w:val="67E4235D"/>
    <w:rsid w:val="67F41F06"/>
    <w:rsid w:val="68016A6B"/>
    <w:rsid w:val="681542C4"/>
    <w:rsid w:val="68335255"/>
    <w:rsid w:val="683D1204"/>
    <w:rsid w:val="685F3EAC"/>
    <w:rsid w:val="686D512C"/>
    <w:rsid w:val="686E1C26"/>
    <w:rsid w:val="68902A3B"/>
    <w:rsid w:val="689F6284"/>
    <w:rsid w:val="68B46E02"/>
    <w:rsid w:val="68BC680B"/>
    <w:rsid w:val="68BC6E36"/>
    <w:rsid w:val="69001FB1"/>
    <w:rsid w:val="690D43F1"/>
    <w:rsid w:val="69171B78"/>
    <w:rsid w:val="69345667"/>
    <w:rsid w:val="6951757E"/>
    <w:rsid w:val="697150D0"/>
    <w:rsid w:val="697B736C"/>
    <w:rsid w:val="699C0F47"/>
    <w:rsid w:val="69A74365"/>
    <w:rsid w:val="69DE62E0"/>
    <w:rsid w:val="69EA2E7C"/>
    <w:rsid w:val="69F30D36"/>
    <w:rsid w:val="69F82E6A"/>
    <w:rsid w:val="69F96492"/>
    <w:rsid w:val="6A18591D"/>
    <w:rsid w:val="6A202829"/>
    <w:rsid w:val="6A4E3C62"/>
    <w:rsid w:val="6A6667D7"/>
    <w:rsid w:val="6A68771A"/>
    <w:rsid w:val="6A712FF0"/>
    <w:rsid w:val="6A7E3DF1"/>
    <w:rsid w:val="6A9A4F55"/>
    <w:rsid w:val="6AE97ED7"/>
    <w:rsid w:val="6AF15E3A"/>
    <w:rsid w:val="6B031216"/>
    <w:rsid w:val="6B3119EE"/>
    <w:rsid w:val="6B480E55"/>
    <w:rsid w:val="6B4A697B"/>
    <w:rsid w:val="6B4C44A1"/>
    <w:rsid w:val="6B6E266A"/>
    <w:rsid w:val="6B6F5883"/>
    <w:rsid w:val="6B867E51"/>
    <w:rsid w:val="6BA66017"/>
    <w:rsid w:val="6BAB3509"/>
    <w:rsid w:val="6BBA58AE"/>
    <w:rsid w:val="6BEA1F1C"/>
    <w:rsid w:val="6BEC17E0"/>
    <w:rsid w:val="6C1C0317"/>
    <w:rsid w:val="6C2C6080"/>
    <w:rsid w:val="6C2F12FB"/>
    <w:rsid w:val="6C932ABB"/>
    <w:rsid w:val="6C97174C"/>
    <w:rsid w:val="6CA05562"/>
    <w:rsid w:val="6CB72040"/>
    <w:rsid w:val="6CBC0AA6"/>
    <w:rsid w:val="6CC62031"/>
    <w:rsid w:val="6CD01102"/>
    <w:rsid w:val="6CEF778C"/>
    <w:rsid w:val="6D006AAF"/>
    <w:rsid w:val="6D0262E5"/>
    <w:rsid w:val="6D3827FE"/>
    <w:rsid w:val="6D66750E"/>
    <w:rsid w:val="6DA175C7"/>
    <w:rsid w:val="6DA265FA"/>
    <w:rsid w:val="6DA60D81"/>
    <w:rsid w:val="6DAC56CB"/>
    <w:rsid w:val="6DC52E9C"/>
    <w:rsid w:val="6DCA5AF4"/>
    <w:rsid w:val="6DDE254B"/>
    <w:rsid w:val="6E032986"/>
    <w:rsid w:val="6E0472B5"/>
    <w:rsid w:val="6E0B314B"/>
    <w:rsid w:val="6E2D5D0C"/>
    <w:rsid w:val="6E4C2C8F"/>
    <w:rsid w:val="6E9666FC"/>
    <w:rsid w:val="6ED547AD"/>
    <w:rsid w:val="6EE42C42"/>
    <w:rsid w:val="6EF341E1"/>
    <w:rsid w:val="6EF602EC"/>
    <w:rsid w:val="6F105DB3"/>
    <w:rsid w:val="6F146B75"/>
    <w:rsid w:val="6F202742"/>
    <w:rsid w:val="6F3C6EA4"/>
    <w:rsid w:val="6F4117B5"/>
    <w:rsid w:val="6F7667D1"/>
    <w:rsid w:val="6F8A3D93"/>
    <w:rsid w:val="6FB638D2"/>
    <w:rsid w:val="700672E2"/>
    <w:rsid w:val="702979D5"/>
    <w:rsid w:val="707F49E2"/>
    <w:rsid w:val="70860455"/>
    <w:rsid w:val="70A15996"/>
    <w:rsid w:val="70A950B9"/>
    <w:rsid w:val="70AB3A18"/>
    <w:rsid w:val="70E755A3"/>
    <w:rsid w:val="70FB099C"/>
    <w:rsid w:val="70FE1DA2"/>
    <w:rsid w:val="71125826"/>
    <w:rsid w:val="71687ED5"/>
    <w:rsid w:val="716D6F1F"/>
    <w:rsid w:val="71827BDB"/>
    <w:rsid w:val="71C2292A"/>
    <w:rsid w:val="71CD79BE"/>
    <w:rsid w:val="71E65D41"/>
    <w:rsid w:val="71E8230A"/>
    <w:rsid w:val="71EB1F37"/>
    <w:rsid w:val="71EE53E9"/>
    <w:rsid w:val="72063F7A"/>
    <w:rsid w:val="721470F5"/>
    <w:rsid w:val="722C2C84"/>
    <w:rsid w:val="723E1B90"/>
    <w:rsid w:val="7250292A"/>
    <w:rsid w:val="726020AF"/>
    <w:rsid w:val="72734A09"/>
    <w:rsid w:val="72CC236B"/>
    <w:rsid w:val="73150C09"/>
    <w:rsid w:val="73424B26"/>
    <w:rsid w:val="7348187C"/>
    <w:rsid w:val="73791D2E"/>
    <w:rsid w:val="737D50C9"/>
    <w:rsid w:val="73A711B1"/>
    <w:rsid w:val="73B32B50"/>
    <w:rsid w:val="73C95AB9"/>
    <w:rsid w:val="73D5073F"/>
    <w:rsid w:val="74024296"/>
    <w:rsid w:val="740341C2"/>
    <w:rsid w:val="74244F61"/>
    <w:rsid w:val="744819C3"/>
    <w:rsid w:val="74532949"/>
    <w:rsid w:val="74646915"/>
    <w:rsid w:val="74711B3F"/>
    <w:rsid w:val="74772881"/>
    <w:rsid w:val="747F7695"/>
    <w:rsid w:val="74947871"/>
    <w:rsid w:val="74AA6B93"/>
    <w:rsid w:val="74D27D28"/>
    <w:rsid w:val="750D18A6"/>
    <w:rsid w:val="751B4EE4"/>
    <w:rsid w:val="75265B6D"/>
    <w:rsid w:val="7530273D"/>
    <w:rsid w:val="75357F2A"/>
    <w:rsid w:val="754E0E15"/>
    <w:rsid w:val="756D057B"/>
    <w:rsid w:val="75954C96"/>
    <w:rsid w:val="75CB5B1A"/>
    <w:rsid w:val="75E44CC4"/>
    <w:rsid w:val="760B385C"/>
    <w:rsid w:val="762620D1"/>
    <w:rsid w:val="76332ADF"/>
    <w:rsid w:val="766D7702"/>
    <w:rsid w:val="766E65CC"/>
    <w:rsid w:val="768E462F"/>
    <w:rsid w:val="769B7237"/>
    <w:rsid w:val="76A6398B"/>
    <w:rsid w:val="76C4666B"/>
    <w:rsid w:val="76E51579"/>
    <w:rsid w:val="76E70449"/>
    <w:rsid w:val="76E9529A"/>
    <w:rsid w:val="76F134AC"/>
    <w:rsid w:val="76F63E83"/>
    <w:rsid w:val="77345527"/>
    <w:rsid w:val="77493648"/>
    <w:rsid w:val="775E58FE"/>
    <w:rsid w:val="776461F2"/>
    <w:rsid w:val="7787778E"/>
    <w:rsid w:val="77935D3A"/>
    <w:rsid w:val="77A03070"/>
    <w:rsid w:val="77EA26DF"/>
    <w:rsid w:val="77FA24C1"/>
    <w:rsid w:val="782A7918"/>
    <w:rsid w:val="783764D9"/>
    <w:rsid w:val="783B7F07"/>
    <w:rsid w:val="78461BCF"/>
    <w:rsid w:val="78A31B88"/>
    <w:rsid w:val="78AE40DE"/>
    <w:rsid w:val="78AF252A"/>
    <w:rsid w:val="78E976A5"/>
    <w:rsid w:val="78FF1344"/>
    <w:rsid w:val="791C342D"/>
    <w:rsid w:val="792720A9"/>
    <w:rsid w:val="795409C4"/>
    <w:rsid w:val="795A14E9"/>
    <w:rsid w:val="79652BD2"/>
    <w:rsid w:val="79711D54"/>
    <w:rsid w:val="79752E15"/>
    <w:rsid w:val="79884924"/>
    <w:rsid w:val="798D5A6B"/>
    <w:rsid w:val="799B4F00"/>
    <w:rsid w:val="79A956C8"/>
    <w:rsid w:val="7A010B4C"/>
    <w:rsid w:val="7A317BBD"/>
    <w:rsid w:val="7A433B22"/>
    <w:rsid w:val="7A7C4B53"/>
    <w:rsid w:val="7A7D1150"/>
    <w:rsid w:val="7A7F2D5F"/>
    <w:rsid w:val="7A8D0632"/>
    <w:rsid w:val="7A953BD1"/>
    <w:rsid w:val="7A9D0EFB"/>
    <w:rsid w:val="7AA240DD"/>
    <w:rsid w:val="7AC34054"/>
    <w:rsid w:val="7ACC115A"/>
    <w:rsid w:val="7AE244DA"/>
    <w:rsid w:val="7AE443DE"/>
    <w:rsid w:val="7B0A43BF"/>
    <w:rsid w:val="7B4617E9"/>
    <w:rsid w:val="7B6B76BA"/>
    <w:rsid w:val="7B6D5D1E"/>
    <w:rsid w:val="7BB62344"/>
    <w:rsid w:val="7BC65BA9"/>
    <w:rsid w:val="7BE33794"/>
    <w:rsid w:val="7BE349AD"/>
    <w:rsid w:val="7BE4480F"/>
    <w:rsid w:val="7BFA3AA5"/>
    <w:rsid w:val="7C330117"/>
    <w:rsid w:val="7C541407"/>
    <w:rsid w:val="7C9B44DF"/>
    <w:rsid w:val="7C9D30A7"/>
    <w:rsid w:val="7CA65846"/>
    <w:rsid w:val="7CBC5BAF"/>
    <w:rsid w:val="7CE338D3"/>
    <w:rsid w:val="7D1666BD"/>
    <w:rsid w:val="7D1F000C"/>
    <w:rsid w:val="7D5A0D22"/>
    <w:rsid w:val="7D957F29"/>
    <w:rsid w:val="7DEC566F"/>
    <w:rsid w:val="7DFE28B2"/>
    <w:rsid w:val="7E0563AC"/>
    <w:rsid w:val="7E111345"/>
    <w:rsid w:val="7E1E2B24"/>
    <w:rsid w:val="7E26598A"/>
    <w:rsid w:val="7E265B44"/>
    <w:rsid w:val="7E393063"/>
    <w:rsid w:val="7E4B0DBE"/>
    <w:rsid w:val="7E67240F"/>
    <w:rsid w:val="7E775881"/>
    <w:rsid w:val="7E7B7BDC"/>
    <w:rsid w:val="7EAD12EA"/>
    <w:rsid w:val="7ECC1A43"/>
    <w:rsid w:val="7F1E3661"/>
    <w:rsid w:val="7F2C6817"/>
    <w:rsid w:val="7F3608DB"/>
    <w:rsid w:val="7F4F5EB6"/>
    <w:rsid w:val="7F7141D8"/>
    <w:rsid w:val="7F7F3E4C"/>
    <w:rsid w:val="7F807961"/>
    <w:rsid w:val="7FAC2499"/>
    <w:rsid w:val="7FBC5C1E"/>
    <w:rsid w:val="7FBF341D"/>
    <w:rsid w:val="7FCC6F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name="header"/>
    <w:lsdException w:qFormat="1" w:unhideWhenUsed="0" w:uiPriority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</w:pPr>
    <w:rPr>
      <w:rFonts w:ascii="宋体" w:hAnsi="Times New Roman" w:eastAsia="宋体" w:cs="Times New Roman"/>
      <w:kern w:val="2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outlineLvl w:val="1"/>
    </w:pPr>
    <w:rPr>
      <w:rFonts w:hAnsi="Arial"/>
      <w:bCs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outlineLvl w:val="2"/>
    </w:pPr>
    <w:rPr>
      <w:bCs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  <w:szCs w:val="24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  <w:szCs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 w:val="21"/>
      <w:szCs w:val="21"/>
    </w:rPr>
  </w:style>
  <w:style w:type="character" w:default="1" w:styleId="29">
    <w:name w:val="Default Paragraph Font"/>
    <w:semiHidden/>
    <w:qFormat/>
    <w:uiPriority w:val="0"/>
  </w:style>
  <w:style w:type="table" w:default="1" w:styleId="2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</w:style>
  <w:style w:type="paragraph" w:styleId="12">
    <w:name w:val="Normal Indent"/>
    <w:basedOn w:val="1"/>
    <w:qFormat/>
    <w:uiPriority w:val="0"/>
    <w:pPr>
      <w:ind w:firstLine="420" w:firstLineChars="200"/>
    </w:pPr>
  </w:style>
  <w:style w:type="paragraph" w:styleId="13">
    <w:name w:val="annotation text"/>
    <w:basedOn w:val="1"/>
    <w:semiHidden/>
    <w:qFormat/>
    <w:uiPriority w:val="0"/>
  </w:style>
  <w:style w:type="paragraph" w:styleId="14">
    <w:name w:val="toc 5"/>
    <w:basedOn w:val="1"/>
    <w:next w:val="1"/>
    <w:semiHidden/>
    <w:qFormat/>
    <w:uiPriority w:val="0"/>
  </w:style>
  <w:style w:type="paragraph" w:styleId="15">
    <w:name w:val="toc 3"/>
    <w:basedOn w:val="1"/>
    <w:next w:val="1"/>
    <w:qFormat/>
    <w:uiPriority w:val="39"/>
  </w:style>
  <w:style w:type="paragraph" w:styleId="16">
    <w:name w:val="toc 8"/>
    <w:basedOn w:val="1"/>
    <w:next w:val="1"/>
    <w:semiHidden/>
    <w:qFormat/>
    <w:uiPriority w:val="0"/>
  </w:style>
  <w:style w:type="paragraph" w:styleId="17">
    <w:name w:val="Balloon Text"/>
    <w:basedOn w:val="1"/>
    <w:semiHidden/>
    <w:qFormat/>
    <w:uiPriority w:val="0"/>
    <w:rPr>
      <w:sz w:val="18"/>
      <w:szCs w:val="18"/>
    </w:rPr>
  </w:style>
  <w:style w:type="paragraph" w:styleId="18">
    <w:name w:val="footer"/>
    <w:basedOn w:val="1"/>
    <w:semiHidden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9">
    <w:name w:val="header"/>
    <w:basedOn w:val="1"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toc 1"/>
    <w:basedOn w:val="1"/>
    <w:next w:val="1"/>
    <w:qFormat/>
    <w:uiPriority w:val="39"/>
    <w:pPr>
      <w:tabs>
        <w:tab w:val="right" w:leader="dot" w:pos="9457"/>
      </w:tabs>
    </w:pPr>
    <w:rPr>
      <w:rFonts w:hAnsi="宋体" w:cs="宋体"/>
      <w:sz w:val="21"/>
      <w:szCs w:val="21"/>
    </w:rPr>
  </w:style>
  <w:style w:type="paragraph" w:styleId="21">
    <w:name w:val="toc 4"/>
    <w:basedOn w:val="1"/>
    <w:next w:val="1"/>
    <w:semiHidden/>
    <w:qFormat/>
    <w:uiPriority w:val="0"/>
  </w:style>
  <w:style w:type="paragraph" w:styleId="22">
    <w:name w:val="toc 6"/>
    <w:basedOn w:val="1"/>
    <w:next w:val="1"/>
    <w:semiHidden/>
    <w:qFormat/>
    <w:uiPriority w:val="0"/>
  </w:style>
  <w:style w:type="paragraph" w:styleId="23">
    <w:name w:val="toc 2"/>
    <w:basedOn w:val="1"/>
    <w:next w:val="1"/>
    <w:qFormat/>
    <w:uiPriority w:val="39"/>
  </w:style>
  <w:style w:type="paragraph" w:styleId="24">
    <w:name w:val="toc 9"/>
    <w:basedOn w:val="1"/>
    <w:next w:val="1"/>
    <w:semiHidden/>
    <w:qFormat/>
    <w:uiPriority w:val="0"/>
  </w:style>
  <w:style w:type="paragraph" w:styleId="2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6">
    <w:name w:val="annotation subject"/>
    <w:basedOn w:val="13"/>
    <w:next w:val="13"/>
    <w:semiHidden/>
    <w:qFormat/>
    <w:uiPriority w:val="0"/>
    <w:rPr>
      <w:b/>
      <w:bCs/>
    </w:rPr>
  </w:style>
  <w:style w:type="table" w:styleId="28">
    <w:name w:val="Table Grid"/>
    <w:basedOn w:val="27"/>
    <w:semiHidden/>
    <w:qFormat/>
    <w:uiPriority w:val="0"/>
    <w:pPr>
      <w:widowControl w:val="0"/>
      <w:spacing w:line="30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Strong"/>
    <w:basedOn w:val="29"/>
    <w:qFormat/>
    <w:uiPriority w:val="0"/>
    <w:rPr>
      <w:b/>
    </w:rPr>
  </w:style>
  <w:style w:type="character" w:styleId="31">
    <w:name w:val="page number"/>
    <w:semiHidden/>
    <w:qFormat/>
    <w:uiPriority w:val="0"/>
    <w:rPr>
      <w:rFonts w:ascii="宋体" w:hAnsi="宋体" w:eastAsia="宋体"/>
      <w:color w:val="000000"/>
      <w:sz w:val="18"/>
    </w:rPr>
  </w:style>
  <w:style w:type="character" w:styleId="32">
    <w:name w:val="Hyperlink"/>
    <w:semiHidden/>
    <w:qFormat/>
    <w:uiPriority w:val="0"/>
    <w:rPr>
      <w:color w:val="0000FF"/>
      <w:u w:val="single"/>
    </w:rPr>
  </w:style>
  <w:style w:type="character" w:styleId="33">
    <w:name w:val="HTML Code"/>
    <w:basedOn w:val="29"/>
    <w:qFormat/>
    <w:uiPriority w:val="0"/>
    <w:rPr>
      <w:rFonts w:ascii="Courier New" w:hAnsi="Courier New"/>
      <w:sz w:val="20"/>
    </w:rPr>
  </w:style>
  <w:style w:type="character" w:styleId="34">
    <w:name w:val="annotation reference"/>
    <w:semiHidden/>
    <w:qFormat/>
    <w:uiPriority w:val="0"/>
    <w:rPr>
      <w:sz w:val="21"/>
      <w:szCs w:val="21"/>
    </w:rPr>
  </w:style>
  <w:style w:type="paragraph" w:customStyle="1" w:styleId="35">
    <w:name w:val="(11)正文章编号及标题"/>
    <w:basedOn w:val="1"/>
    <w:next w:val="1"/>
    <w:semiHidden/>
    <w:qFormat/>
    <w:uiPriority w:val="0"/>
    <w:pPr>
      <w:widowControl/>
      <w:numPr>
        <w:ilvl w:val="1"/>
        <w:numId w:val="2"/>
      </w:numPr>
      <w:spacing w:before="50" w:beforeLines="50" w:after="50" w:afterLines="50" w:line="240" w:lineRule="auto"/>
      <w:outlineLvl w:val="0"/>
    </w:pPr>
    <w:rPr>
      <w:rFonts w:ascii="黑体" w:eastAsia="黑体"/>
      <w:szCs w:val="24"/>
    </w:rPr>
  </w:style>
  <w:style w:type="paragraph" w:customStyle="1" w:styleId="36">
    <w:name w:val="(12)正文一级条"/>
    <w:basedOn w:val="1"/>
    <w:next w:val="1"/>
    <w:semiHidden/>
    <w:qFormat/>
    <w:uiPriority w:val="0"/>
    <w:pPr>
      <w:widowControl/>
      <w:numPr>
        <w:ilvl w:val="2"/>
        <w:numId w:val="2"/>
      </w:numPr>
      <w:outlineLvl w:val="1"/>
    </w:pPr>
    <w:rPr>
      <w:szCs w:val="24"/>
    </w:rPr>
  </w:style>
  <w:style w:type="paragraph" w:customStyle="1" w:styleId="37">
    <w:name w:val="(13)正文二级条"/>
    <w:basedOn w:val="1"/>
    <w:next w:val="1"/>
    <w:semiHidden/>
    <w:qFormat/>
    <w:uiPriority w:val="0"/>
    <w:pPr>
      <w:numPr>
        <w:ilvl w:val="3"/>
        <w:numId w:val="2"/>
      </w:numPr>
      <w:outlineLvl w:val="2"/>
    </w:pPr>
    <w:rPr>
      <w:szCs w:val="24"/>
    </w:rPr>
  </w:style>
  <w:style w:type="paragraph" w:customStyle="1" w:styleId="38">
    <w:name w:val="(14)正文三级条"/>
    <w:basedOn w:val="1"/>
    <w:next w:val="1"/>
    <w:semiHidden/>
    <w:qFormat/>
    <w:uiPriority w:val="0"/>
    <w:pPr>
      <w:widowControl/>
      <w:numPr>
        <w:ilvl w:val="4"/>
        <w:numId w:val="2"/>
      </w:numPr>
      <w:outlineLvl w:val="3"/>
    </w:pPr>
    <w:rPr>
      <w:szCs w:val="24"/>
    </w:rPr>
  </w:style>
  <w:style w:type="paragraph" w:customStyle="1" w:styleId="39">
    <w:name w:val="(50)正文图编号及图题"/>
    <w:next w:val="1"/>
    <w:semiHidden/>
    <w:qFormat/>
    <w:uiPriority w:val="0"/>
    <w:pPr>
      <w:numPr>
        <w:ilvl w:val="0"/>
        <w:numId w:val="3"/>
      </w:numPr>
      <w:tabs>
        <w:tab w:val="left" w:pos="567"/>
        <w:tab w:val="clear" w:pos="720"/>
      </w:tabs>
      <w:spacing w:line="300" w:lineRule="auto"/>
      <w:jc w:val="center"/>
    </w:pPr>
    <w:rPr>
      <w:rFonts w:ascii="黑体" w:hAnsi="Times New Roman" w:eastAsia="黑体" w:cs="Times New Roman"/>
      <w:sz w:val="28"/>
      <w:lang w:val="en-US" w:eastAsia="zh-CN" w:bidi="ar-SA"/>
    </w:rPr>
  </w:style>
  <w:style w:type="paragraph" w:customStyle="1" w:styleId="40">
    <w:name w:val="(60)正文表编号及表题"/>
    <w:basedOn w:val="39"/>
    <w:next w:val="1"/>
    <w:semiHidden/>
    <w:qFormat/>
    <w:uiPriority w:val="0"/>
    <w:pPr>
      <w:numPr>
        <w:ilvl w:val="0"/>
        <w:numId w:val="4"/>
      </w:numPr>
      <w:tabs>
        <w:tab w:val="left" w:pos="851"/>
        <w:tab w:val="clear" w:pos="720"/>
        <w:tab w:val="clear" w:pos="567"/>
      </w:tabs>
    </w:pPr>
  </w:style>
  <w:style w:type="paragraph" w:customStyle="1" w:styleId="41">
    <w:name w:val="(40)段落"/>
    <w:basedOn w:val="1"/>
    <w:semiHidden/>
    <w:qFormat/>
    <w:uiPriority w:val="0"/>
    <w:pPr>
      <w:adjustRightInd w:val="0"/>
      <w:snapToGrid w:val="0"/>
      <w:ind w:firstLine="560" w:firstLineChars="200"/>
      <w:jc w:val="both"/>
    </w:pPr>
    <w:rPr>
      <w:szCs w:val="24"/>
    </w:rPr>
  </w:style>
  <w:style w:type="paragraph" w:customStyle="1" w:styleId="42">
    <w:name w:val="(01)前言、符号表、参考文献标题"/>
    <w:basedOn w:val="1"/>
    <w:next w:val="1"/>
    <w:semiHidden/>
    <w:qFormat/>
    <w:uiPriority w:val="0"/>
    <w:pPr>
      <w:keepNext/>
      <w:widowControl/>
      <w:spacing w:before="50" w:beforeLines="50" w:after="50" w:afterLines="50" w:line="240" w:lineRule="auto"/>
      <w:jc w:val="center"/>
      <w:outlineLvl w:val="0"/>
    </w:pPr>
    <w:rPr>
      <w:rFonts w:ascii="黑体" w:eastAsia="黑体"/>
      <w:kern w:val="0"/>
    </w:rPr>
  </w:style>
  <w:style w:type="paragraph" w:customStyle="1" w:styleId="43">
    <w:name w:val="(31)多条注释"/>
    <w:semiHidden/>
    <w:qFormat/>
    <w:uiPriority w:val="0"/>
    <w:pPr>
      <w:numPr>
        <w:ilvl w:val="0"/>
        <w:numId w:val="5"/>
      </w:numPr>
      <w:tabs>
        <w:tab w:val="left" w:pos="360"/>
        <w:tab w:val="clear" w:pos="1440"/>
      </w:tabs>
      <w:ind w:left="450" w:hanging="450" w:hangingChars="450"/>
    </w:pPr>
    <w:rPr>
      <w:rFonts w:ascii="宋体" w:hAnsi="Times New Roman" w:eastAsia="宋体" w:cs="Times New Roman"/>
      <w:sz w:val="28"/>
      <w:szCs w:val="28"/>
      <w:lang w:val="en-US" w:eastAsia="zh-CN" w:bidi="ar-SA"/>
    </w:rPr>
  </w:style>
  <w:style w:type="paragraph" w:customStyle="1" w:styleId="44">
    <w:name w:val="(20)字母列项条文（一级）"/>
    <w:next w:val="1"/>
    <w:semiHidden/>
    <w:qFormat/>
    <w:uiPriority w:val="0"/>
    <w:pPr>
      <w:numPr>
        <w:ilvl w:val="0"/>
        <w:numId w:val="6"/>
      </w:numPr>
      <w:spacing w:line="300" w:lineRule="auto"/>
    </w:pPr>
    <w:rPr>
      <w:rFonts w:ascii="宋体" w:hAnsi="Times New Roman" w:eastAsia="宋体" w:cs="Times New Roman"/>
      <w:sz w:val="28"/>
      <w:lang w:val="en-US" w:eastAsia="zh-CN" w:bidi="ar-SA"/>
    </w:rPr>
  </w:style>
  <w:style w:type="paragraph" w:customStyle="1" w:styleId="45">
    <w:name w:val="(22)数字列项条文（二级）"/>
    <w:basedOn w:val="44"/>
    <w:next w:val="1"/>
    <w:semiHidden/>
    <w:qFormat/>
    <w:uiPriority w:val="0"/>
    <w:pPr>
      <w:numPr>
        <w:ilvl w:val="0"/>
        <w:numId w:val="7"/>
      </w:numPr>
      <w:tabs>
        <w:tab w:val="clear" w:pos="1080"/>
      </w:tabs>
    </w:pPr>
  </w:style>
  <w:style w:type="paragraph" w:customStyle="1" w:styleId="46">
    <w:name w:val="(21)非引用列项（一级）"/>
    <w:semiHidden/>
    <w:qFormat/>
    <w:uiPriority w:val="0"/>
    <w:pPr>
      <w:numPr>
        <w:ilvl w:val="0"/>
        <w:numId w:val="8"/>
      </w:numPr>
      <w:tabs>
        <w:tab w:val="clear" w:pos="920"/>
      </w:tabs>
      <w:spacing w:line="300" w:lineRule="auto"/>
      <w:ind w:left="0" w:firstLine="200" w:firstLineChars="200"/>
    </w:pPr>
    <w:rPr>
      <w:rFonts w:ascii="宋体" w:hAnsi="Times New Roman" w:eastAsia="宋体" w:cs="Times New Roman"/>
      <w:sz w:val="28"/>
      <w:lang w:val="en-US" w:eastAsia="zh-CN" w:bidi="ar-SA"/>
    </w:rPr>
  </w:style>
  <w:style w:type="paragraph" w:customStyle="1" w:styleId="47">
    <w:name w:val="(90)附录编号及标题"/>
    <w:next w:val="1"/>
    <w:semiHidden/>
    <w:qFormat/>
    <w:uiPriority w:val="0"/>
    <w:pPr>
      <w:numPr>
        <w:ilvl w:val="0"/>
        <w:numId w:val="9"/>
      </w:numPr>
      <w:tabs>
        <w:tab w:val="left" w:pos="567"/>
        <w:tab w:val="clear" w:pos="648"/>
      </w:tabs>
      <w:adjustRightInd w:val="0"/>
      <w:snapToGrid w:val="0"/>
      <w:spacing w:before="50" w:beforeLines="50" w:after="50" w:afterLines="50"/>
      <w:ind w:left="0" w:firstLine="0"/>
      <w:jc w:val="center"/>
      <w:outlineLvl w:val="0"/>
    </w:pPr>
    <w:rPr>
      <w:rFonts w:ascii="黑体" w:hAnsi="宋体" w:eastAsia="黑体" w:cs="Times New Roman"/>
      <w:kern w:val="2"/>
      <w:sz w:val="28"/>
      <w:szCs w:val="24"/>
      <w:lang w:val="en-US" w:eastAsia="zh-CN" w:bidi="ar-SA"/>
    </w:rPr>
  </w:style>
  <w:style w:type="paragraph" w:customStyle="1" w:styleId="48">
    <w:name w:val="(92)附录一级条"/>
    <w:basedOn w:val="1"/>
    <w:semiHidden/>
    <w:qFormat/>
    <w:uiPriority w:val="0"/>
    <w:pPr>
      <w:numPr>
        <w:ilvl w:val="2"/>
        <w:numId w:val="10"/>
      </w:numPr>
      <w:spacing w:line="240" w:lineRule="auto"/>
      <w:outlineLvl w:val="2"/>
    </w:pPr>
    <w:rPr>
      <w:rFonts w:ascii="Times New Roman"/>
      <w:szCs w:val="24"/>
    </w:rPr>
  </w:style>
  <w:style w:type="paragraph" w:customStyle="1" w:styleId="49">
    <w:name w:val="(30)条文注释"/>
    <w:next w:val="41"/>
    <w:semiHidden/>
    <w:qFormat/>
    <w:uiPriority w:val="0"/>
    <w:pPr>
      <w:widowControl w:val="0"/>
      <w:numPr>
        <w:ilvl w:val="0"/>
        <w:numId w:val="11"/>
      </w:numPr>
      <w:tabs>
        <w:tab w:val="left" w:pos="360"/>
        <w:tab w:val="clear" w:pos="0"/>
      </w:tabs>
      <w:spacing w:line="300" w:lineRule="auto"/>
      <w:ind w:left="1260" w:hanging="1260" w:hangingChars="450"/>
    </w:pPr>
    <w:rPr>
      <w:rFonts w:ascii="宋体" w:hAnsi="Times New Roman" w:eastAsia="宋体" w:cs="Times New Roman"/>
      <w:sz w:val="28"/>
      <w:lang w:val="en-US" w:eastAsia="zh-CN" w:bidi="ar-SA"/>
    </w:rPr>
  </w:style>
  <w:style w:type="paragraph" w:customStyle="1" w:styleId="50">
    <w:name w:val="(00)目次标题"/>
    <w:basedOn w:val="41"/>
    <w:semiHidden/>
    <w:qFormat/>
    <w:uiPriority w:val="0"/>
    <w:pPr>
      <w:adjustRightInd/>
      <w:snapToGrid/>
      <w:spacing w:before="50" w:beforeLines="50" w:after="50" w:afterLines="50"/>
      <w:ind w:firstLine="0" w:firstLineChars="0"/>
      <w:jc w:val="center"/>
    </w:pPr>
    <w:rPr>
      <w:rFonts w:eastAsia="黑体"/>
    </w:rPr>
  </w:style>
  <w:style w:type="paragraph" w:customStyle="1" w:styleId="51">
    <w:name w:val="(91)附录章编号及标题"/>
    <w:basedOn w:val="1"/>
    <w:semiHidden/>
    <w:qFormat/>
    <w:uiPriority w:val="0"/>
    <w:pPr>
      <w:widowControl/>
      <w:numPr>
        <w:ilvl w:val="1"/>
        <w:numId w:val="10"/>
      </w:numPr>
      <w:spacing w:line="240" w:lineRule="auto"/>
      <w:outlineLvl w:val="1"/>
    </w:pPr>
    <w:rPr>
      <w:rFonts w:hAnsi="宋体" w:eastAsia="黑体"/>
      <w:kern w:val="0"/>
    </w:rPr>
  </w:style>
  <w:style w:type="paragraph" w:customStyle="1" w:styleId="52">
    <w:name w:val="段"/>
    <w:semiHidden/>
    <w:qFormat/>
    <w:uiPriority w:val="0"/>
    <w:pPr>
      <w:autoSpaceDE w:val="0"/>
      <w:autoSpaceDN w:val="0"/>
      <w:spacing w:line="360" w:lineRule="auto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53">
    <w:name w:val="封面正文"/>
    <w:semiHidden/>
    <w:qFormat/>
    <w:uiPriority w:val="0"/>
    <w:pPr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54">
    <w:name w:val="标准文件_标准正文"/>
    <w:semiHidden/>
    <w:qFormat/>
    <w:uiPriority w:val="0"/>
    <w:pPr>
      <w:tabs>
        <w:tab w:val="left" w:pos="8711"/>
      </w:tabs>
      <w:adjustRightInd w:val="0"/>
      <w:snapToGrid w:val="0"/>
      <w:spacing w:line="300" w:lineRule="auto"/>
      <w:ind w:firstLineChars="200"/>
      <w:jc w:val="both"/>
    </w:pPr>
    <w:rPr>
      <w:rFonts w:ascii="宋体" w:hAnsi="宋体" w:eastAsia="宋体" w:cs="Arial"/>
      <w:color w:val="000000"/>
      <w:sz w:val="21"/>
      <w:szCs w:val="21"/>
      <w:lang w:val="en-US" w:eastAsia="zh-CN" w:bidi="ar-SA"/>
    </w:rPr>
  </w:style>
  <w:style w:type="paragraph" w:customStyle="1" w:styleId="55">
    <w:name w:val="标准文件_章标题"/>
    <w:next w:val="54"/>
    <w:semiHidden/>
    <w:qFormat/>
    <w:uiPriority w:val="0"/>
    <w:pPr>
      <w:adjustRightInd w:val="0"/>
      <w:snapToGrid w:val="0"/>
      <w:spacing w:before="50" w:beforeLines="50" w:after="50" w:afterLines="50" w:line="300" w:lineRule="auto"/>
      <w:jc w:val="both"/>
      <w:outlineLvl w:val="0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56">
    <w:name w:val="标准文件_1级条"/>
    <w:next w:val="54"/>
    <w:semiHidden/>
    <w:qFormat/>
    <w:uiPriority w:val="0"/>
    <w:pPr>
      <w:adjustRightInd w:val="0"/>
      <w:snapToGrid w:val="0"/>
      <w:spacing w:before="50" w:beforeLines="50" w:after="50" w:afterLines="50" w:line="300" w:lineRule="auto"/>
      <w:jc w:val="both"/>
      <w:outlineLvl w:val="1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57">
    <w:name w:val="标准文件_2级条"/>
    <w:next w:val="54"/>
    <w:semiHidden/>
    <w:qFormat/>
    <w:uiPriority w:val="0"/>
    <w:pPr>
      <w:adjustRightInd w:val="0"/>
      <w:snapToGrid w:val="0"/>
      <w:spacing w:before="50" w:beforeLines="50" w:after="50" w:afterLines="50" w:line="300" w:lineRule="auto"/>
      <w:jc w:val="both"/>
      <w:outlineLvl w:val="2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58">
    <w:name w:val="标准文件_3级条"/>
    <w:next w:val="54"/>
    <w:semiHidden/>
    <w:qFormat/>
    <w:uiPriority w:val="0"/>
    <w:pPr>
      <w:adjustRightInd w:val="0"/>
      <w:snapToGrid w:val="0"/>
      <w:spacing w:before="50" w:beforeLines="50" w:after="50" w:afterLines="50" w:line="300" w:lineRule="auto"/>
      <w:jc w:val="both"/>
      <w:outlineLvl w:val="3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59">
    <w:name w:val="标准文件_4级条"/>
    <w:next w:val="54"/>
    <w:semiHidden/>
    <w:qFormat/>
    <w:uiPriority w:val="0"/>
    <w:pPr>
      <w:adjustRightInd w:val="0"/>
      <w:snapToGrid w:val="0"/>
      <w:spacing w:before="50" w:beforeLines="50" w:after="50" w:afterLines="50" w:line="300" w:lineRule="auto"/>
      <w:jc w:val="both"/>
      <w:outlineLvl w:val="4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60">
    <w:name w:val="标准文件_5级条"/>
    <w:next w:val="54"/>
    <w:semiHidden/>
    <w:qFormat/>
    <w:uiPriority w:val="0"/>
    <w:pPr>
      <w:adjustRightInd w:val="0"/>
      <w:snapToGrid w:val="0"/>
      <w:spacing w:before="50" w:beforeLines="50" w:after="50" w:afterLines="50" w:line="300" w:lineRule="auto"/>
      <w:jc w:val="both"/>
      <w:outlineLvl w:val="5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61">
    <w:name w:val="标准文件_附录章标题"/>
    <w:next w:val="54"/>
    <w:semiHidden/>
    <w:qFormat/>
    <w:uiPriority w:val="0"/>
    <w:pPr>
      <w:tabs>
        <w:tab w:val="left" w:pos="8711"/>
      </w:tabs>
      <w:adjustRightInd w:val="0"/>
      <w:snapToGrid w:val="0"/>
      <w:spacing w:before="640" w:after="160"/>
      <w:jc w:val="center"/>
      <w:outlineLvl w:val="0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62">
    <w:name w:val="标准文件_附录1级条"/>
    <w:next w:val="54"/>
    <w:semiHidden/>
    <w:qFormat/>
    <w:uiPriority w:val="0"/>
    <w:pPr>
      <w:adjustRightInd w:val="0"/>
      <w:snapToGrid w:val="0"/>
      <w:spacing w:before="50" w:beforeLines="50" w:after="50" w:afterLines="50"/>
      <w:jc w:val="both"/>
      <w:outlineLvl w:val="1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63">
    <w:name w:val="标准文件_附录2级条"/>
    <w:next w:val="54"/>
    <w:semiHidden/>
    <w:qFormat/>
    <w:uiPriority w:val="0"/>
    <w:pPr>
      <w:adjustRightInd w:val="0"/>
      <w:snapToGrid w:val="0"/>
      <w:spacing w:before="50" w:beforeLines="50" w:after="50" w:afterLines="50"/>
      <w:jc w:val="both"/>
      <w:outlineLvl w:val="2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64">
    <w:name w:val="标准文件_附录3级条"/>
    <w:next w:val="54"/>
    <w:semiHidden/>
    <w:qFormat/>
    <w:uiPriority w:val="0"/>
    <w:pPr>
      <w:adjustRightInd w:val="0"/>
      <w:snapToGrid w:val="0"/>
      <w:spacing w:before="50" w:beforeLines="50" w:after="50" w:afterLines="50"/>
      <w:jc w:val="both"/>
      <w:outlineLvl w:val="3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65">
    <w:name w:val="标准文件_附录4级条"/>
    <w:next w:val="54"/>
    <w:semiHidden/>
    <w:qFormat/>
    <w:uiPriority w:val="0"/>
    <w:pPr>
      <w:adjustRightInd w:val="0"/>
      <w:snapToGrid w:val="0"/>
      <w:spacing w:before="50" w:beforeLines="50" w:after="50" w:afterLines="50"/>
      <w:jc w:val="both"/>
      <w:outlineLvl w:val="4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66">
    <w:name w:val="标准文件_附录5级条"/>
    <w:next w:val="54"/>
    <w:semiHidden/>
    <w:qFormat/>
    <w:uiPriority w:val="0"/>
    <w:pPr>
      <w:adjustRightInd w:val="0"/>
      <w:snapToGrid w:val="0"/>
      <w:spacing w:before="50" w:beforeLines="50" w:after="50" w:afterLines="50"/>
      <w:jc w:val="both"/>
      <w:outlineLvl w:val="5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67">
    <w:name w:val="标准文件_图题注"/>
    <w:next w:val="54"/>
    <w:semiHidden/>
    <w:qFormat/>
    <w:uiPriority w:val="0"/>
    <w:pPr>
      <w:tabs>
        <w:tab w:val="left" w:pos="8711"/>
      </w:tabs>
      <w:adjustRightInd w:val="0"/>
      <w:snapToGrid w:val="0"/>
      <w:spacing w:line="0" w:lineRule="atLeast"/>
      <w:jc w:val="center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68">
    <w:name w:val="标准文件_表题注"/>
    <w:next w:val="54"/>
    <w:semiHidden/>
    <w:qFormat/>
    <w:uiPriority w:val="0"/>
    <w:pPr>
      <w:tabs>
        <w:tab w:val="left" w:pos="8711"/>
      </w:tabs>
      <w:adjustRightInd w:val="0"/>
      <w:snapToGrid w:val="0"/>
      <w:spacing w:line="0" w:lineRule="atLeast"/>
      <w:jc w:val="center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69">
    <w:name w:val="标准文件_附录图题注"/>
    <w:next w:val="54"/>
    <w:semiHidden/>
    <w:qFormat/>
    <w:uiPriority w:val="0"/>
    <w:pPr>
      <w:tabs>
        <w:tab w:val="left" w:pos="8711"/>
      </w:tabs>
      <w:adjustRightInd w:val="0"/>
      <w:snapToGrid w:val="0"/>
      <w:spacing w:line="0" w:lineRule="atLeast"/>
      <w:jc w:val="center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70">
    <w:name w:val="标准文件_附录表题注"/>
    <w:next w:val="54"/>
    <w:semiHidden/>
    <w:qFormat/>
    <w:uiPriority w:val="0"/>
    <w:pPr>
      <w:tabs>
        <w:tab w:val="left" w:pos="8711"/>
      </w:tabs>
      <w:adjustRightInd w:val="0"/>
      <w:snapToGrid w:val="0"/>
      <w:spacing w:line="0" w:lineRule="atLeast"/>
      <w:jc w:val="center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71">
    <w:name w:val="标准文件_公式题注"/>
    <w:next w:val="54"/>
    <w:semiHidden/>
    <w:qFormat/>
    <w:uiPriority w:val="0"/>
    <w:pPr>
      <w:tabs>
        <w:tab w:val="left" w:pos="8711"/>
      </w:tabs>
      <w:adjustRightInd w:val="0"/>
      <w:snapToGrid w:val="0"/>
      <w:spacing w:line="0" w:lineRule="atLeast"/>
      <w:jc w:val="right"/>
    </w:pPr>
    <w:rPr>
      <w:rFonts w:ascii="宋体" w:hAnsi="宋体" w:eastAsia="宋体" w:cs="Arial"/>
      <w:color w:val="000000"/>
      <w:sz w:val="21"/>
      <w:szCs w:val="21"/>
      <w:lang w:val="en-US" w:eastAsia="zh-CN" w:bidi="ar-SA"/>
    </w:rPr>
  </w:style>
  <w:style w:type="paragraph" w:customStyle="1" w:styleId="72">
    <w:name w:val="标准文件_附录公式题注"/>
    <w:next w:val="54"/>
    <w:semiHidden/>
    <w:qFormat/>
    <w:uiPriority w:val="0"/>
    <w:pPr>
      <w:tabs>
        <w:tab w:val="left" w:pos="8711"/>
      </w:tabs>
      <w:adjustRightInd w:val="0"/>
      <w:snapToGrid w:val="0"/>
      <w:spacing w:line="0" w:lineRule="atLeast"/>
      <w:jc w:val="right"/>
    </w:pPr>
    <w:rPr>
      <w:rFonts w:ascii="宋体" w:hAnsi="宋体" w:eastAsia="宋体" w:cs="Arial"/>
      <w:color w:val="000000"/>
      <w:sz w:val="21"/>
      <w:szCs w:val="21"/>
      <w:lang w:val="en-US" w:eastAsia="zh-CN" w:bidi="ar-SA"/>
    </w:rPr>
  </w:style>
  <w:style w:type="paragraph" w:customStyle="1" w:styleId="73">
    <w:name w:val="标准文件_封面标准分类号"/>
    <w:basedOn w:val="53"/>
    <w:semiHidden/>
    <w:qFormat/>
    <w:uiPriority w:val="0"/>
    <w:pPr>
      <w:tabs>
        <w:tab w:val="left" w:pos="8711"/>
      </w:tabs>
      <w:adjustRightInd w:val="0"/>
      <w:snapToGrid w:val="0"/>
      <w:spacing w:line="0" w:lineRule="atLeast"/>
    </w:pPr>
    <w:rPr>
      <w:rFonts w:ascii="黑体" w:hAnsi="宋体" w:eastAsia="黑体" w:cs="Arial"/>
      <w:color w:val="000000"/>
      <w:sz w:val="28"/>
      <w:szCs w:val="21"/>
    </w:rPr>
  </w:style>
  <w:style w:type="paragraph" w:customStyle="1" w:styleId="74">
    <w:name w:val="标准文件_页眉_奇数页"/>
    <w:next w:val="1"/>
    <w:semiHidden/>
    <w:qFormat/>
    <w:uiPriority w:val="0"/>
    <w:pPr>
      <w:tabs>
        <w:tab w:val="left" w:pos="8711"/>
      </w:tabs>
      <w:adjustRightInd w:val="0"/>
      <w:snapToGrid w:val="0"/>
      <w:spacing w:after="100" w:afterAutospacing="1" w:line="0" w:lineRule="atLeast"/>
      <w:jc w:val="right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75">
    <w:name w:val="标准文件_页眉_偶数页"/>
    <w:next w:val="1"/>
    <w:semiHidden/>
    <w:qFormat/>
    <w:uiPriority w:val="0"/>
    <w:pPr>
      <w:tabs>
        <w:tab w:val="left" w:pos="8711"/>
      </w:tabs>
      <w:adjustRightInd w:val="0"/>
      <w:snapToGrid w:val="0"/>
      <w:spacing w:after="100" w:afterAutospacing="1" w:line="0" w:lineRule="atLeast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76">
    <w:name w:val="标准文件_目次"/>
    <w:next w:val="54"/>
    <w:semiHidden/>
    <w:qFormat/>
    <w:uiPriority w:val="0"/>
    <w:pPr>
      <w:tabs>
        <w:tab w:val="left" w:pos="8711"/>
      </w:tabs>
      <w:adjustRightInd w:val="0"/>
      <w:snapToGrid w:val="0"/>
      <w:spacing w:before="100" w:beforeAutospacing="1" w:after="100" w:afterAutospacing="1" w:line="300" w:lineRule="auto"/>
      <w:jc w:val="center"/>
    </w:pPr>
    <w:rPr>
      <w:rFonts w:ascii="黑体" w:hAnsi="宋体" w:eastAsia="黑体" w:cs="Arial"/>
      <w:color w:val="000000"/>
      <w:sz w:val="32"/>
      <w:szCs w:val="21"/>
      <w:lang w:val="en-US" w:eastAsia="zh-CN" w:bidi="ar-SA"/>
    </w:rPr>
  </w:style>
  <w:style w:type="paragraph" w:customStyle="1" w:styleId="77">
    <w:name w:val="标准文件_目次内容"/>
    <w:basedOn w:val="20"/>
    <w:semiHidden/>
    <w:qFormat/>
    <w:uiPriority w:val="0"/>
    <w:pPr>
      <w:tabs>
        <w:tab w:val="left" w:pos="8711"/>
      </w:tabs>
      <w:adjustRightInd w:val="0"/>
      <w:snapToGrid w:val="0"/>
      <w:spacing w:line="310" w:lineRule="exact"/>
    </w:pPr>
    <w:rPr>
      <w:rFonts w:ascii="宋体" w:hAnsi="宋体" w:cs="Arial"/>
      <w:color w:val="000000"/>
      <w:sz w:val="21"/>
      <w:szCs w:val="21"/>
    </w:rPr>
  </w:style>
  <w:style w:type="paragraph" w:customStyle="1" w:styleId="78">
    <w:name w:val="标准文件_前言引言标题"/>
    <w:next w:val="54"/>
    <w:semiHidden/>
    <w:qFormat/>
    <w:uiPriority w:val="0"/>
    <w:pPr>
      <w:tabs>
        <w:tab w:val="left" w:pos="8711"/>
      </w:tabs>
      <w:adjustRightInd w:val="0"/>
      <w:snapToGrid w:val="0"/>
      <w:spacing w:before="567" w:after="680" w:line="0" w:lineRule="atLeast"/>
      <w:jc w:val="center"/>
      <w:outlineLvl w:val="0"/>
    </w:pPr>
    <w:rPr>
      <w:rFonts w:ascii="黑体" w:hAnsi="宋体" w:eastAsia="黑体" w:cs="Arial"/>
      <w:color w:val="000000"/>
      <w:sz w:val="32"/>
      <w:szCs w:val="21"/>
      <w:lang w:val="en-US" w:eastAsia="zh-CN" w:bidi="ar-SA"/>
    </w:rPr>
  </w:style>
  <w:style w:type="paragraph" w:customStyle="1" w:styleId="79">
    <w:name w:val="标准文件_标准名称标题"/>
    <w:next w:val="80"/>
    <w:semiHidden/>
    <w:qFormat/>
    <w:uiPriority w:val="0"/>
    <w:pPr>
      <w:tabs>
        <w:tab w:val="left" w:pos="8711"/>
      </w:tabs>
      <w:adjustRightInd w:val="0"/>
      <w:snapToGrid w:val="0"/>
      <w:spacing w:before="640" w:after="100" w:line="400" w:lineRule="exact"/>
      <w:jc w:val="center"/>
    </w:pPr>
    <w:rPr>
      <w:rFonts w:ascii="黑体" w:hAnsi="宋体" w:eastAsia="黑体" w:cs="Arial"/>
      <w:color w:val="000000"/>
      <w:sz w:val="32"/>
      <w:szCs w:val="21"/>
      <w:lang w:val="en-US" w:eastAsia="zh-CN" w:bidi="ar-SA"/>
    </w:rPr>
  </w:style>
  <w:style w:type="paragraph" w:customStyle="1" w:styleId="80">
    <w:name w:val="(11)标准文件_章标题"/>
    <w:next w:val="81"/>
    <w:qFormat/>
    <w:uiPriority w:val="0"/>
    <w:pPr>
      <w:numPr>
        <w:ilvl w:val="0"/>
        <w:numId w:val="12"/>
      </w:numPr>
      <w:spacing w:before="50" w:beforeLines="50" w:after="50" w:afterLines="50" w:line="300" w:lineRule="auto"/>
      <w:jc w:val="both"/>
      <w:outlineLvl w:val="0"/>
    </w:pPr>
    <w:rPr>
      <w:rFonts w:ascii="黑体" w:hAnsi="Times New Roman" w:eastAsia="黑体" w:cs="Times New Roman"/>
      <w:b/>
      <w:color w:val="000000"/>
      <w:kern w:val="2"/>
      <w:sz w:val="28"/>
      <w:lang w:val="en-US" w:eastAsia="zh-CN" w:bidi="ar-SA"/>
    </w:rPr>
  </w:style>
  <w:style w:type="paragraph" w:customStyle="1" w:styleId="81">
    <w:name w:val="(40)标准文件_段落"/>
    <w:qFormat/>
    <w:uiPriority w:val="0"/>
    <w:pPr>
      <w:spacing w:after="100" w:line="324" w:lineRule="auto"/>
      <w:ind w:firstLine="200" w:firstLineChars="200"/>
      <w:jc w:val="both"/>
    </w:pPr>
    <w:rPr>
      <w:rFonts w:ascii="宋体" w:hAnsi="Times New Roman" w:eastAsia="宋体" w:cs="Times New Roman"/>
      <w:color w:val="000000"/>
      <w:kern w:val="2"/>
      <w:sz w:val="21"/>
      <w:lang w:val="en-US" w:eastAsia="zh-CN" w:bidi="ar-SA"/>
    </w:rPr>
  </w:style>
  <w:style w:type="paragraph" w:customStyle="1" w:styleId="82">
    <w:name w:val="标准文件_参考文献正文"/>
    <w:semiHidden/>
    <w:qFormat/>
    <w:uiPriority w:val="0"/>
    <w:pPr>
      <w:tabs>
        <w:tab w:val="left" w:pos="8711"/>
      </w:tabs>
      <w:adjustRightInd w:val="0"/>
      <w:snapToGrid w:val="0"/>
      <w:spacing w:line="300" w:lineRule="atLeast"/>
      <w:ind w:left="618" w:leftChars="200" w:hangingChars="200"/>
    </w:pPr>
    <w:rPr>
      <w:rFonts w:ascii="宋体" w:hAnsi="宋体" w:eastAsia="宋体" w:cs="Arial"/>
      <w:color w:val="000000"/>
      <w:sz w:val="21"/>
      <w:szCs w:val="21"/>
      <w:lang w:val="en-US" w:eastAsia="zh-CN" w:bidi="ar-SA"/>
    </w:rPr>
  </w:style>
  <w:style w:type="paragraph" w:customStyle="1" w:styleId="83">
    <w:name w:val="标准文件_参考文献标题"/>
    <w:next w:val="54"/>
    <w:semiHidden/>
    <w:qFormat/>
    <w:uiPriority w:val="0"/>
    <w:pPr>
      <w:tabs>
        <w:tab w:val="left" w:pos="8711"/>
      </w:tabs>
      <w:adjustRightInd w:val="0"/>
      <w:snapToGrid w:val="0"/>
      <w:spacing w:before="540" w:after="180"/>
      <w:jc w:val="center"/>
      <w:outlineLvl w:val="0"/>
    </w:pPr>
    <w:rPr>
      <w:rFonts w:ascii="黑体" w:hAnsi="宋体" w:eastAsia="黑体" w:cs="Arial"/>
      <w:color w:val="000000"/>
      <w:sz w:val="21"/>
      <w:szCs w:val="21"/>
      <w:lang w:val="en-US" w:eastAsia="zh-CN" w:bidi="ar-SA"/>
    </w:rPr>
  </w:style>
  <w:style w:type="paragraph" w:customStyle="1" w:styleId="84">
    <w:name w:val="标准文件_注释"/>
    <w:next w:val="54"/>
    <w:semiHidden/>
    <w:qFormat/>
    <w:uiPriority w:val="0"/>
    <w:pPr>
      <w:widowControl w:val="0"/>
      <w:tabs>
        <w:tab w:val="left" w:pos="8711"/>
      </w:tabs>
      <w:spacing w:line="300" w:lineRule="exact"/>
      <w:ind w:left="403" w:leftChars="200" w:hanging="198" w:hangingChars="200"/>
      <w:jc w:val="both"/>
    </w:pPr>
    <w:rPr>
      <w:rFonts w:ascii="宋体" w:hAnsi="宋体" w:eastAsia="宋体" w:cs="Arial"/>
      <w:color w:val="000000"/>
      <w:sz w:val="18"/>
      <w:szCs w:val="21"/>
      <w:lang w:val="en-US" w:eastAsia="zh-CN" w:bidi="ar-SA"/>
    </w:rPr>
  </w:style>
  <w:style w:type="paragraph" w:customStyle="1" w:styleId="85">
    <w:name w:val="标准文件_表内文字"/>
    <w:basedOn w:val="53"/>
    <w:semiHidden/>
    <w:qFormat/>
    <w:uiPriority w:val="0"/>
    <w:pPr>
      <w:tabs>
        <w:tab w:val="left" w:pos="8711"/>
      </w:tabs>
      <w:adjustRightInd w:val="0"/>
      <w:snapToGrid w:val="0"/>
      <w:spacing w:line="0" w:lineRule="atLeast"/>
    </w:pPr>
    <w:rPr>
      <w:rFonts w:ascii="宋体" w:hAnsi="宋体" w:cs="Arial"/>
      <w:color w:val="000000"/>
      <w:sz w:val="18"/>
      <w:szCs w:val="21"/>
    </w:rPr>
  </w:style>
  <w:style w:type="paragraph" w:customStyle="1" w:styleId="86">
    <w:name w:val="(12)标准文件_1级条"/>
    <w:next w:val="81"/>
    <w:qFormat/>
    <w:uiPriority w:val="0"/>
    <w:pPr>
      <w:numPr>
        <w:ilvl w:val="1"/>
        <w:numId w:val="12"/>
      </w:numPr>
      <w:spacing w:before="50" w:beforeLines="50" w:after="50" w:afterLines="50" w:line="300" w:lineRule="auto"/>
      <w:jc w:val="both"/>
      <w:outlineLvl w:val="1"/>
    </w:pPr>
    <w:rPr>
      <w:rFonts w:ascii="黑体" w:hAnsi="Times New Roman" w:eastAsia="黑体" w:cs="Times New Roman"/>
      <w:b/>
      <w:color w:val="000000"/>
      <w:kern w:val="2"/>
      <w:sz w:val="24"/>
      <w:lang w:val="en-US" w:eastAsia="zh-CN" w:bidi="ar-SA"/>
    </w:rPr>
  </w:style>
  <w:style w:type="paragraph" w:customStyle="1" w:styleId="87">
    <w:name w:val="(13)标准文件_2级条"/>
    <w:next w:val="81"/>
    <w:qFormat/>
    <w:uiPriority w:val="0"/>
    <w:pPr>
      <w:numPr>
        <w:ilvl w:val="2"/>
        <w:numId w:val="12"/>
      </w:numPr>
      <w:spacing w:before="50" w:beforeLines="50" w:after="50" w:afterLines="50" w:line="300" w:lineRule="auto"/>
      <w:jc w:val="both"/>
      <w:outlineLvl w:val="2"/>
    </w:pPr>
    <w:rPr>
      <w:rFonts w:ascii="黑体" w:hAnsi="Times New Roman" w:eastAsia="黑体" w:cs="Times New Roman"/>
      <w:b/>
      <w:color w:val="000000"/>
      <w:kern w:val="2"/>
      <w:sz w:val="22"/>
      <w:lang w:val="en-US" w:eastAsia="zh-CN" w:bidi="ar-SA"/>
    </w:rPr>
  </w:style>
  <w:style w:type="paragraph" w:customStyle="1" w:styleId="88">
    <w:name w:val="(14)标准文件_3级条"/>
    <w:next w:val="81"/>
    <w:qFormat/>
    <w:uiPriority w:val="0"/>
    <w:pPr>
      <w:numPr>
        <w:ilvl w:val="3"/>
        <w:numId w:val="12"/>
      </w:numPr>
      <w:spacing w:before="50" w:beforeLines="50" w:after="50" w:afterLines="50" w:line="300" w:lineRule="auto"/>
      <w:jc w:val="both"/>
      <w:outlineLvl w:val="3"/>
    </w:pPr>
    <w:rPr>
      <w:rFonts w:ascii="黑体" w:hAnsi="Times New Roman" w:eastAsia="黑体" w:cs="Times New Roman"/>
      <w:color w:val="000000"/>
      <w:kern w:val="2"/>
      <w:sz w:val="21"/>
      <w:lang w:val="en-US" w:eastAsia="zh-CN" w:bidi="ar-SA"/>
    </w:rPr>
  </w:style>
  <w:style w:type="paragraph" w:customStyle="1" w:styleId="89">
    <w:name w:val="(15)标准文件_4级条"/>
    <w:next w:val="81"/>
    <w:qFormat/>
    <w:uiPriority w:val="0"/>
    <w:pPr>
      <w:numPr>
        <w:ilvl w:val="4"/>
        <w:numId w:val="12"/>
      </w:numPr>
      <w:spacing w:before="50" w:beforeLines="50" w:after="50" w:afterLines="50" w:line="300" w:lineRule="auto"/>
      <w:jc w:val="both"/>
      <w:outlineLvl w:val="4"/>
    </w:pPr>
    <w:rPr>
      <w:rFonts w:ascii="黑体" w:hAnsi="Times New Roman" w:eastAsia="黑体" w:cs="Times New Roman"/>
      <w:color w:val="000000"/>
      <w:kern w:val="2"/>
      <w:sz w:val="21"/>
      <w:lang w:val="en-US" w:eastAsia="zh-CN" w:bidi="ar-SA"/>
    </w:rPr>
  </w:style>
  <w:style w:type="paragraph" w:customStyle="1" w:styleId="90">
    <w:name w:val="(16)标准文件_5级条"/>
    <w:next w:val="81"/>
    <w:qFormat/>
    <w:uiPriority w:val="0"/>
    <w:pPr>
      <w:numPr>
        <w:ilvl w:val="5"/>
        <w:numId w:val="12"/>
      </w:numPr>
      <w:spacing w:before="50" w:beforeLines="50" w:after="50" w:afterLines="50" w:line="300" w:lineRule="auto"/>
      <w:jc w:val="both"/>
      <w:outlineLvl w:val="5"/>
    </w:pPr>
    <w:rPr>
      <w:rFonts w:ascii="黑体" w:hAnsi="Times New Roman" w:eastAsia="黑体" w:cs="Times New Roman"/>
      <w:color w:val="000000"/>
      <w:kern w:val="2"/>
      <w:sz w:val="21"/>
      <w:lang w:val="en-US" w:eastAsia="zh-CN" w:bidi="ar-SA"/>
    </w:rPr>
  </w:style>
  <w:style w:type="paragraph" w:customStyle="1" w:styleId="91">
    <w:name w:val="(91)标准文件_附录章标题"/>
    <w:next w:val="92"/>
    <w:qFormat/>
    <w:uiPriority w:val="0"/>
    <w:pPr>
      <w:numPr>
        <w:ilvl w:val="0"/>
        <w:numId w:val="13"/>
      </w:numPr>
      <w:tabs>
        <w:tab w:val="center" w:pos="0"/>
        <w:tab w:val="clear" w:pos="425"/>
      </w:tabs>
      <w:spacing w:before="640"/>
      <w:jc w:val="center"/>
      <w:outlineLvl w:val="0"/>
    </w:pPr>
    <w:rPr>
      <w:rFonts w:ascii="黑体" w:hAnsi="Times New Roman" w:eastAsia="黑体" w:cs="Times New Roman"/>
      <w:color w:val="000000"/>
      <w:kern w:val="2"/>
      <w:sz w:val="21"/>
      <w:lang w:val="en-US" w:eastAsia="zh-CN" w:bidi="ar-SA"/>
    </w:rPr>
  </w:style>
  <w:style w:type="paragraph" w:customStyle="1" w:styleId="92">
    <w:name w:val="(97)标准文件_附录性质"/>
    <w:next w:val="93"/>
    <w:qFormat/>
    <w:uiPriority w:val="0"/>
    <w:pPr>
      <w:jc w:val="center"/>
      <w:outlineLvl w:val="0"/>
    </w:pPr>
    <w:rPr>
      <w:rFonts w:ascii="宋体" w:hAnsi="宋体" w:eastAsia="黑体" w:cs="Times New Roman"/>
      <w:color w:val="000000"/>
      <w:kern w:val="2"/>
      <w:sz w:val="21"/>
      <w:lang w:val="en-US" w:eastAsia="zh-CN" w:bidi="ar-SA"/>
    </w:rPr>
  </w:style>
  <w:style w:type="paragraph" w:customStyle="1" w:styleId="93">
    <w:name w:val="(98)标准文件_附录名称"/>
    <w:next w:val="94"/>
    <w:qFormat/>
    <w:uiPriority w:val="0"/>
    <w:pPr>
      <w:spacing w:after="160"/>
      <w:jc w:val="center"/>
      <w:outlineLvl w:val="0"/>
    </w:pPr>
    <w:rPr>
      <w:rFonts w:ascii="宋体" w:hAnsi="宋体" w:eastAsia="黑体" w:cs="Times New Roman"/>
      <w:color w:val="000000"/>
      <w:kern w:val="2"/>
      <w:sz w:val="21"/>
      <w:lang w:val="en-US" w:eastAsia="zh-CN" w:bidi="ar-SA"/>
    </w:rPr>
  </w:style>
  <w:style w:type="paragraph" w:customStyle="1" w:styleId="94">
    <w:name w:val="(92)标准文件_附录1级条"/>
    <w:next w:val="81"/>
    <w:qFormat/>
    <w:uiPriority w:val="0"/>
    <w:pPr>
      <w:numPr>
        <w:ilvl w:val="1"/>
        <w:numId w:val="13"/>
      </w:numPr>
      <w:spacing w:before="50" w:beforeLines="50" w:after="50" w:afterLines="50"/>
      <w:jc w:val="both"/>
      <w:outlineLvl w:val="1"/>
    </w:pPr>
    <w:rPr>
      <w:rFonts w:ascii="黑体" w:hAnsi="Times New Roman" w:eastAsia="黑体" w:cs="Times New Roman"/>
      <w:color w:val="000000"/>
      <w:kern w:val="2"/>
      <w:sz w:val="21"/>
      <w:lang w:val="en-US" w:eastAsia="zh-CN" w:bidi="ar-SA"/>
    </w:rPr>
  </w:style>
  <w:style w:type="paragraph" w:customStyle="1" w:styleId="95">
    <w:name w:val="(93)标准文件_附录2级条"/>
    <w:next w:val="81"/>
    <w:qFormat/>
    <w:uiPriority w:val="0"/>
    <w:pPr>
      <w:numPr>
        <w:ilvl w:val="2"/>
        <w:numId w:val="13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color w:val="000000"/>
      <w:kern w:val="2"/>
      <w:sz w:val="21"/>
      <w:lang w:val="en-US" w:eastAsia="zh-CN" w:bidi="ar-SA"/>
    </w:rPr>
  </w:style>
  <w:style w:type="paragraph" w:customStyle="1" w:styleId="96">
    <w:name w:val="(94)标准文件_附录3级条"/>
    <w:next w:val="81"/>
    <w:qFormat/>
    <w:uiPriority w:val="0"/>
    <w:pPr>
      <w:numPr>
        <w:ilvl w:val="3"/>
        <w:numId w:val="13"/>
      </w:numPr>
      <w:spacing w:before="50" w:beforeLines="50" w:after="50" w:afterLines="50"/>
      <w:jc w:val="both"/>
      <w:outlineLvl w:val="3"/>
    </w:pPr>
    <w:rPr>
      <w:rFonts w:ascii="黑体" w:hAnsi="Times New Roman" w:eastAsia="黑体" w:cs="Times New Roman"/>
      <w:color w:val="000000"/>
      <w:kern w:val="2"/>
      <w:sz w:val="21"/>
      <w:lang w:val="en-US" w:eastAsia="zh-CN" w:bidi="ar-SA"/>
    </w:rPr>
  </w:style>
  <w:style w:type="paragraph" w:customStyle="1" w:styleId="97">
    <w:name w:val="(95)标准文件_附录4级条"/>
    <w:next w:val="81"/>
    <w:qFormat/>
    <w:uiPriority w:val="0"/>
    <w:pPr>
      <w:numPr>
        <w:ilvl w:val="4"/>
        <w:numId w:val="13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color w:val="000000"/>
      <w:kern w:val="2"/>
      <w:sz w:val="21"/>
      <w:lang w:val="en-US" w:eastAsia="zh-CN" w:bidi="ar-SA"/>
    </w:rPr>
  </w:style>
  <w:style w:type="paragraph" w:customStyle="1" w:styleId="98">
    <w:name w:val="(96)标准文件_附录5级条"/>
    <w:next w:val="81"/>
    <w:qFormat/>
    <w:uiPriority w:val="0"/>
    <w:pPr>
      <w:numPr>
        <w:ilvl w:val="5"/>
        <w:numId w:val="13"/>
      </w:numPr>
      <w:spacing w:before="50" w:beforeLines="50" w:after="50" w:afterLines="50"/>
      <w:jc w:val="both"/>
      <w:outlineLvl w:val="5"/>
    </w:pPr>
    <w:rPr>
      <w:rFonts w:ascii="黑体" w:hAnsi="Times New Roman" w:eastAsia="黑体" w:cs="Times New Roman"/>
      <w:color w:val="000000"/>
      <w:kern w:val="2"/>
      <w:sz w:val="21"/>
      <w:lang w:val="en-US" w:eastAsia="zh-CN" w:bidi="ar-SA"/>
    </w:rPr>
  </w:style>
  <w:style w:type="paragraph" w:customStyle="1" w:styleId="99">
    <w:name w:val="(50)标准文件_图标题"/>
    <w:next w:val="81"/>
    <w:qFormat/>
    <w:uiPriority w:val="0"/>
    <w:pPr>
      <w:numPr>
        <w:ilvl w:val="0"/>
        <w:numId w:val="1"/>
      </w:numPr>
      <w:spacing w:beforeLines="50" w:afterLines="50" w:line="300" w:lineRule="auto"/>
      <w:jc w:val="center"/>
    </w:pPr>
    <w:rPr>
      <w:rFonts w:ascii="黑体" w:hAnsi="Times New Roman" w:eastAsia="黑体" w:cs="Times New Roman"/>
      <w:color w:val="000000"/>
      <w:kern w:val="2"/>
      <w:sz w:val="20"/>
      <w:lang w:val="en-US" w:eastAsia="zh-CN" w:bidi="ar-SA"/>
    </w:rPr>
  </w:style>
  <w:style w:type="paragraph" w:customStyle="1" w:styleId="100">
    <w:name w:val="(60)标准文件_表标题"/>
    <w:next w:val="81"/>
    <w:qFormat/>
    <w:uiPriority w:val="0"/>
    <w:pPr>
      <w:numPr>
        <w:ilvl w:val="0"/>
        <w:numId w:val="14"/>
      </w:numPr>
      <w:spacing w:beforeLines="50" w:afterLines="50" w:line="300" w:lineRule="auto"/>
      <w:jc w:val="center"/>
    </w:pPr>
    <w:rPr>
      <w:rFonts w:ascii="黑体" w:hAnsi="Times New Roman" w:eastAsia="黑体" w:cs="Times New Roman"/>
      <w:color w:val="000000"/>
      <w:kern w:val="2"/>
      <w:sz w:val="20"/>
      <w:lang w:val="en-US" w:eastAsia="zh-CN" w:bidi="ar-SA"/>
    </w:rPr>
  </w:style>
  <w:style w:type="paragraph" w:customStyle="1" w:styleId="101">
    <w:name w:val="(51)标准文件_附录图标题"/>
    <w:next w:val="81"/>
    <w:qFormat/>
    <w:uiPriority w:val="0"/>
    <w:pPr>
      <w:spacing w:beforeLines="50" w:afterLines="50" w:line="300" w:lineRule="auto"/>
      <w:jc w:val="center"/>
    </w:pPr>
    <w:rPr>
      <w:rFonts w:ascii="黑体" w:hAnsi="Times New Roman" w:eastAsia="黑体" w:cs="Times New Roman"/>
      <w:color w:val="000000"/>
      <w:kern w:val="2"/>
      <w:sz w:val="21"/>
      <w:lang w:val="en-US" w:eastAsia="zh-CN" w:bidi="ar-SA"/>
    </w:rPr>
  </w:style>
  <w:style w:type="paragraph" w:customStyle="1" w:styleId="102">
    <w:name w:val="(61)标准文件_附录表标题"/>
    <w:next w:val="81"/>
    <w:qFormat/>
    <w:uiPriority w:val="0"/>
    <w:pPr>
      <w:spacing w:beforeLines="50" w:afterLines="50" w:line="300" w:lineRule="auto"/>
      <w:jc w:val="center"/>
    </w:pPr>
    <w:rPr>
      <w:rFonts w:ascii="黑体" w:hAnsi="Times New Roman" w:eastAsia="黑体" w:cs="Times New Roman"/>
      <w:color w:val="000000"/>
      <w:kern w:val="2"/>
      <w:sz w:val="21"/>
      <w:lang w:val="en-US" w:eastAsia="zh-CN" w:bidi="ar-SA"/>
    </w:rPr>
  </w:style>
  <w:style w:type="paragraph" w:customStyle="1" w:styleId="103">
    <w:name w:val="(70)标准文件_公式题注"/>
    <w:next w:val="81"/>
    <w:qFormat/>
    <w:uiPriority w:val="0"/>
    <w:pPr>
      <w:spacing w:beforeLines="50" w:afterLines="50"/>
      <w:jc w:val="right"/>
    </w:pPr>
    <w:rPr>
      <w:rFonts w:ascii="宋体" w:hAnsi="宋体" w:eastAsia="宋体" w:cs="Times New Roman"/>
      <w:color w:val="000000"/>
      <w:kern w:val="2"/>
      <w:sz w:val="21"/>
      <w:lang w:val="en-US" w:eastAsia="zh-CN" w:bidi="ar-SA"/>
    </w:rPr>
  </w:style>
  <w:style w:type="paragraph" w:customStyle="1" w:styleId="104">
    <w:name w:val="(71)标准文件_附录公式题注"/>
    <w:next w:val="81"/>
    <w:qFormat/>
    <w:uiPriority w:val="0"/>
    <w:pPr>
      <w:spacing w:beforeLines="50" w:afterLines="50"/>
      <w:jc w:val="right"/>
    </w:pPr>
    <w:rPr>
      <w:rFonts w:ascii="宋体" w:hAnsi="宋体" w:eastAsia="宋体" w:cs="Times New Roman"/>
      <w:color w:val="000000"/>
      <w:kern w:val="2"/>
      <w:sz w:val="21"/>
      <w:lang w:val="en-US" w:eastAsia="zh-CN" w:bidi="ar-SA"/>
    </w:rPr>
  </w:style>
  <w:style w:type="paragraph" w:customStyle="1" w:styleId="105">
    <w:name w:val="(00)标准文件_目次标题"/>
    <w:next w:val="81"/>
    <w:qFormat/>
    <w:uiPriority w:val="0"/>
    <w:pPr>
      <w:spacing w:before="567" w:after="680" w:line="300" w:lineRule="auto"/>
      <w:jc w:val="center"/>
    </w:pPr>
    <w:rPr>
      <w:rFonts w:ascii="黑体" w:hAnsi="Times New Roman" w:eastAsia="黑体" w:cs="Times New Roman"/>
      <w:color w:val="000000"/>
      <w:kern w:val="2"/>
      <w:sz w:val="32"/>
      <w:lang w:val="en-US" w:eastAsia="zh-CN" w:bidi="ar-SA"/>
    </w:rPr>
  </w:style>
  <w:style w:type="paragraph" w:customStyle="1" w:styleId="106">
    <w:name w:val="(01)标准文件_目次内容"/>
    <w:basedOn w:val="20"/>
    <w:qFormat/>
    <w:uiPriority w:val="0"/>
    <w:pPr>
      <w:jc w:val="both"/>
    </w:pPr>
    <w:rPr>
      <w:color w:val="000000"/>
    </w:rPr>
  </w:style>
  <w:style w:type="paragraph" w:customStyle="1" w:styleId="107">
    <w:name w:val="(03)标准文件_前言引言标题"/>
    <w:next w:val="81"/>
    <w:qFormat/>
    <w:uiPriority w:val="0"/>
    <w:pPr>
      <w:spacing w:before="567" w:after="680" w:line="300" w:lineRule="auto"/>
      <w:jc w:val="center"/>
      <w:outlineLvl w:val="0"/>
    </w:pPr>
    <w:rPr>
      <w:rFonts w:ascii="黑体" w:hAnsi="Times New Roman" w:eastAsia="黑体" w:cs="Times New Roman"/>
      <w:color w:val="000000"/>
      <w:kern w:val="2"/>
      <w:sz w:val="32"/>
      <w:lang w:val="en-US" w:eastAsia="zh-CN" w:bidi="ar-SA"/>
    </w:rPr>
  </w:style>
  <w:style w:type="paragraph" w:customStyle="1" w:styleId="108">
    <w:name w:val="(05)标准文件_参考文献正文"/>
    <w:qFormat/>
    <w:uiPriority w:val="0"/>
    <w:pPr>
      <w:numPr>
        <w:ilvl w:val="0"/>
        <w:numId w:val="15"/>
      </w:numPr>
      <w:spacing w:line="300" w:lineRule="auto"/>
      <w:ind w:left="840"/>
      <w:jc w:val="both"/>
    </w:pPr>
    <w:rPr>
      <w:rFonts w:ascii="宋体" w:hAnsi="宋体" w:eastAsia="宋体" w:cs="Times New Roman"/>
      <w:color w:val="000000"/>
      <w:kern w:val="2"/>
      <w:sz w:val="21"/>
      <w:lang w:val="en-US" w:eastAsia="zh-CN" w:bidi="ar-SA"/>
    </w:rPr>
  </w:style>
  <w:style w:type="paragraph" w:customStyle="1" w:styleId="109">
    <w:name w:val="(04)标准文件_参考文献标题"/>
    <w:next w:val="81"/>
    <w:qFormat/>
    <w:uiPriority w:val="0"/>
    <w:pPr>
      <w:spacing w:before="540" w:after="180" w:line="300" w:lineRule="auto"/>
      <w:jc w:val="center"/>
      <w:outlineLvl w:val="0"/>
    </w:pPr>
    <w:rPr>
      <w:rFonts w:ascii="黑体" w:hAnsi="Times New Roman" w:eastAsia="黑体" w:cs="Times New Roman"/>
      <w:color w:val="000000"/>
      <w:kern w:val="2"/>
      <w:sz w:val="21"/>
      <w:lang w:val="en-US" w:eastAsia="zh-CN" w:bidi="ar-SA"/>
    </w:rPr>
  </w:style>
  <w:style w:type="paragraph" w:customStyle="1" w:styleId="110">
    <w:name w:val="(30)标准文件_注释"/>
    <w:next w:val="81"/>
    <w:qFormat/>
    <w:uiPriority w:val="0"/>
    <w:pPr>
      <w:widowControl w:val="0"/>
      <w:spacing w:line="300" w:lineRule="auto"/>
      <w:ind w:left="200" w:leftChars="200" w:hanging="198" w:hangingChars="200"/>
      <w:jc w:val="both"/>
    </w:pPr>
    <w:rPr>
      <w:rFonts w:ascii="宋体" w:hAnsi="宋体" w:eastAsia="宋体" w:cs="Times New Roman"/>
      <w:color w:val="000000"/>
      <w:kern w:val="2"/>
      <w:sz w:val="18"/>
      <w:lang w:val="en-US" w:eastAsia="zh-CN" w:bidi="ar-SA"/>
    </w:rPr>
  </w:style>
  <w:style w:type="paragraph" w:customStyle="1" w:styleId="111">
    <w:name w:val="(31)标准文件_示例"/>
    <w:next w:val="81"/>
    <w:qFormat/>
    <w:uiPriority w:val="0"/>
    <w:pPr>
      <w:widowControl w:val="0"/>
      <w:spacing w:line="300" w:lineRule="auto"/>
      <w:ind w:left="200" w:leftChars="200"/>
      <w:jc w:val="both"/>
    </w:pPr>
    <w:rPr>
      <w:rFonts w:ascii="宋体" w:hAnsi="宋体" w:eastAsia="宋体" w:cs="Times New Roman"/>
      <w:color w:val="000000"/>
      <w:kern w:val="2"/>
      <w:sz w:val="18"/>
      <w:lang w:val="en-US" w:eastAsia="zh-CN" w:bidi="ar-SA"/>
    </w:rPr>
  </w:style>
  <w:style w:type="paragraph" w:customStyle="1" w:styleId="112">
    <w:name w:val="(62)标准文件_表内文字"/>
    <w:basedOn w:val="1"/>
    <w:qFormat/>
    <w:uiPriority w:val="0"/>
    <w:pPr>
      <w:jc w:val="both"/>
    </w:pPr>
    <w:rPr>
      <w:rFonts w:hAnsi="宋体"/>
      <w:color w:val="000000"/>
      <w:sz w:val="18"/>
    </w:rPr>
  </w:style>
  <w:style w:type="paragraph" w:customStyle="1" w:styleId="113">
    <w:name w:val="(41)标准文件_一级列项"/>
    <w:qFormat/>
    <w:uiPriority w:val="0"/>
    <w:pPr>
      <w:numPr>
        <w:ilvl w:val="0"/>
        <w:numId w:val="16"/>
      </w:numPr>
      <w:spacing w:after="60" w:line="300" w:lineRule="auto"/>
    </w:pPr>
    <w:rPr>
      <w:rFonts w:ascii="宋体" w:hAnsi="Times New Roman" w:eastAsia="宋体" w:cs="Times New Roman"/>
      <w:color w:val="000000"/>
      <w:kern w:val="2"/>
      <w:sz w:val="21"/>
      <w:lang w:val="en-US" w:eastAsia="zh-CN" w:bidi="ar-SA"/>
    </w:rPr>
  </w:style>
  <w:style w:type="paragraph" w:customStyle="1" w:styleId="114">
    <w:name w:val="(42)标准文件_二级列项"/>
    <w:qFormat/>
    <w:uiPriority w:val="0"/>
    <w:pPr>
      <w:numPr>
        <w:ilvl w:val="0"/>
        <w:numId w:val="17"/>
      </w:numPr>
      <w:spacing w:line="300" w:lineRule="auto"/>
      <w:ind w:left="1259"/>
    </w:pPr>
    <w:rPr>
      <w:rFonts w:ascii="宋体" w:hAnsi="宋体" w:eastAsia="宋体" w:cs="Times New Roman"/>
      <w:color w:val="000000"/>
      <w:kern w:val="2"/>
      <w:sz w:val="21"/>
      <w:lang w:val="en-US" w:eastAsia="zh-CN" w:bidi="ar-SA"/>
    </w:rPr>
  </w:style>
  <w:style w:type="paragraph" w:customStyle="1" w:styleId="115">
    <w:name w:val="商发正文"/>
    <w:qFormat/>
    <w:locked/>
    <w:uiPriority w:val="5"/>
    <w:pPr>
      <w:widowControl w:val="0"/>
      <w:adjustRightInd w:val="0"/>
      <w:snapToGrid w:val="0"/>
      <w:spacing w:line="300" w:lineRule="auto"/>
      <w:ind w:firstLine="200" w:firstLineChars="200"/>
      <w:jc w:val="both"/>
    </w:pPr>
    <w:rPr>
      <w:rFonts w:ascii="Times New Roman" w:hAnsi="Times New Roman" w:eastAsia="宋体" w:cs="Times New Roman"/>
      <w:color w:val="000000"/>
      <w:kern w:val="2"/>
      <w:sz w:val="24"/>
      <w:szCs w:val="21"/>
      <w:lang w:val="en-US" w:eastAsia="zh-CN" w:bidi="ar-SA"/>
    </w:rPr>
  </w:style>
  <w:style w:type="paragraph" w:customStyle="1" w:styleId="116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1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1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19">
    <w:name w:val="_Style 115"/>
    <w:basedOn w:val="2"/>
    <w:next w:val="1"/>
    <w:unhideWhenUsed/>
    <w:qFormat/>
    <w:uiPriority w:val="39"/>
    <w:pPr>
      <w:keepLines/>
      <w:widowControl/>
      <w:spacing w:before="240" w:line="259" w:lineRule="auto"/>
      <w:outlineLvl w:val="9"/>
    </w:pPr>
    <w:rPr>
      <w:rFonts w:ascii="等线 Light" w:hAnsi="等线 Light" w:eastAsia="等线 Light" w:cs="Times New Roman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5.png"/><Relationship Id="rId18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theme" Target="theme/theme1.xml"/><Relationship Id="rId13" Type="http://schemas.openxmlformats.org/officeDocument/2006/relationships/footer" Target="footer4.xml"/><Relationship Id="rId12" Type="http://schemas.openxmlformats.org/officeDocument/2006/relationships/footer" Target="footer3.xml"/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8040\AppData\Roaming\kingsoft\office6\templates\docerresourceshop\ugc\template\535947947373\bd20305df6c9207df2b457458f120129dde69627\53594794737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535947947373.docx</Template>
  <Pages>44</Pages>
  <Words>20262</Words>
  <Characters>24629</Characters>
  <Lines>33</Lines>
  <Paragraphs>9</Paragraphs>
  <TotalTime>145</TotalTime>
  <ScaleCrop>false</ScaleCrop>
  <LinksUpToDate>false</LinksUpToDate>
  <CharactersWithSpaces>24853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通用格式模板</cp:category>
  <dcterms:created xsi:type="dcterms:W3CDTF">2026-09-18T01:16:00Z</dcterms:created>
  <dc:creator>于小耘</dc:creator>
  <dc:description>按功能模块实施视角重构，结合六项专业工具接入资料形成。</dc:description>
  <cp:keywords>通用技术文件 2008-02-17</cp:keywords>
  <cp:lastModifiedBy>于小耘</cp:lastModifiedBy>
  <cp:lastPrinted>2026-09-21T23:35:00Z</cp:lastPrinted>
  <dcterms:modified xsi:type="dcterms:W3CDTF">2026-09-22T05:08:17Z</dcterms:modified>
  <dc:subject>实施深化版 V0.4</dc:subject>
  <dc:title>工业图像智能检测智能体平台建设方案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7D0A2D749AA34C81A2CCADA247D7ACE3_13</vt:lpwstr>
  </property>
  <property fmtid="{D5CDD505-2E9C-101B-9397-08002B2CF9AE}" pid="4" name="KSOTemplateDocerSaveRecord">
    <vt:lpwstr>eyJoZGlkIjoiMmE0MjMwMWE4NWE1MGE3OGZkZTQ1YWNiOGQ3NTlkZjYiLCJ1c2VySWQiOiIzMDExNzQzODUifQ==</vt:lpwstr>
  </property>
</Properties>
</file>