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57ED0">
      <w:pPr>
        <w:spacing w:before="1600"/>
        <w:jc w:val="center"/>
        <w:rPr>
          <w:rFonts w:ascii="微软雅黑" w:hAnsi="微软雅黑" w:eastAsia="微软雅黑"/>
          <w:b/>
          <w:color w:val="auto"/>
          <w:sz w:val="48"/>
        </w:rPr>
      </w:pPr>
    </w:p>
    <w:p w14:paraId="13FB24B4">
      <w:pPr>
        <w:spacing w:before="1600"/>
        <w:jc w:val="center"/>
        <w:rPr>
          <w:rFonts w:hint="eastAsia"/>
          <w:b w:val="0"/>
          <w:bCs/>
          <w:color w:val="auto"/>
          <w:sz w:val="52"/>
          <w:szCs w:val="52"/>
          <w:lang w:val="en-US" w:eastAsia="zh-CN"/>
        </w:rPr>
      </w:pPr>
      <w:bookmarkStart w:id="0" w:name="_GoBack"/>
      <w:r>
        <w:rPr>
          <w:rFonts w:hint="eastAsia"/>
          <w:b w:val="0"/>
          <w:bCs/>
          <w:color w:val="auto"/>
          <w:sz w:val="52"/>
          <w:szCs w:val="52"/>
          <w:lang w:val="en-US" w:eastAsia="zh-CN"/>
        </w:rPr>
        <w:t>中国航发动力所</w:t>
      </w:r>
    </w:p>
    <w:p w14:paraId="191506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/>
        <w:jc w:val="center"/>
        <w:textAlignment w:val="auto"/>
        <w:rPr>
          <w:b w:val="0"/>
          <w:bCs/>
          <w:color w:val="auto"/>
          <w:sz w:val="52"/>
          <w:szCs w:val="52"/>
        </w:rPr>
      </w:pPr>
      <w:r>
        <w:rPr>
          <w:rFonts w:ascii="微软雅黑" w:hAnsi="微软雅黑" w:eastAsia="微软雅黑"/>
          <w:b w:val="0"/>
          <w:bCs/>
          <w:color w:val="auto"/>
          <w:sz w:val="52"/>
          <w:szCs w:val="52"/>
        </w:rPr>
        <w:t>工业图像智能算法工具</w:t>
      </w:r>
    </w:p>
    <w:p w14:paraId="16B970AA">
      <w:pPr>
        <w:jc w:val="center"/>
        <w:rPr>
          <w:b w:val="0"/>
          <w:bCs/>
          <w:sz w:val="52"/>
          <w:szCs w:val="52"/>
        </w:rPr>
      </w:pPr>
      <w:r>
        <w:rPr>
          <w:rFonts w:ascii="微软雅黑" w:hAnsi="微软雅黑" w:eastAsia="微软雅黑"/>
          <w:b w:val="0"/>
          <w:bCs/>
          <w:color w:val="auto"/>
          <w:sz w:val="52"/>
          <w:szCs w:val="52"/>
        </w:rPr>
        <w:t>统一 API 接入规范</w:t>
      </w:r>
    </w:p>
    <w:bookmarkEnd w:id="0"/>
    <w:p w14:paraId="22D4AFEE"/>
    <w:p w14:paraId="7045245D">
      <w:r>
        <w:br w:type="page"/>
      </w:r>
    </w:p>
    <w:p w14:paraId="3DD23E34">
      <w:pPr>
        <w:pStyle w:val="3"/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1. 目的与适用范围</w:t>
      </w:r>
    </w:p>
    <w:p w14:paraId="397D52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t>本规范用于工业图像智能算法工具的服务封装、接口调用、输入输出、运行环境、CPU硬件要求、性能测试、日志、交付及验收要求。目标是使上层AI智能体或统一调度平台能够以一致方式发现、调用和解释各专业算法工具。</w:t>
      </w:r>
    </w:p>
    <w:p w14:paraId="6140CF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t>算法模型内部实现方式不作统一限制，但对外服务行为必须满足本规范或经批准的偏离项。</w:t>
      </w:r>
    </w:p>
    <w:p w14:paraId="276FDB95">
      <w:pPr>
        <w:pStyle w:val="3"/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2. 总体设计原则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7364"/>
      </w:tblGrid>
      <w:tr w14:paraId="33EAA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83" w:type="dxa"/>
            <w:shd w:val="clear" w:color="auto" w:fill="BEBEBE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CADF5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  <w:b/>
                <w:bCs w:val="0"/>
                <w:color w:val="262626" w:themeColor="text1" w:themeTint="D9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color w:val="262626" w:themeColor="text1" w:themeTint="D9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原则</w:t>
            </w:r>
          </w:p>
        </w:tc>
        <w:tc>
          <w:tcPr>
            <w:tcW w:w="7364" w:type="dxa"/>
            <w:shd w:val="clear" w:color="auto" w:fill="BEBEBE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B6493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  <w:b/>
                <w:bCs w:val="0"/>
                <w:color w:val="262626" w:themeColor="text1" w:themeTint="D9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color w:val="262626" w:themeColor="text1" w:themeTint="D9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要求</w:t>
            </w:r>
          </w:p>
        </w:tc>
      </w:tr>
      <w:tr w14:paraId="58A91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8A94D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0"/>
                <w:szCs w:val="20"/>
              </w:rPr>
              <w:t>统一外部接口</w:t>
            </w:r>
          </w:p>
        </w:tc>
        <w:tc>
          <w:tcPr>
            <w:tcW w:w="73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0903C">
            <w:pPr>
              <w:spacing w:before="0" w:after="0" w:line="252" w:lineRule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0"/>
                <w:szCs w:val="20"/>
              </w:rPr>
              <w:t>不同开发单位的内部模型结构可以不同，但服务入口、公共字段、错误码语义和版本信息应尽量统一。</w:t>
            </w:r>
          </w:p>
        </w:tc>
      </w:tr>
      <w:tr w14:paraId="7B029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10F11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0"/>
                <w:szCs w:val="20"/>
              </w:rPr>
              <w:t>结构化结果优先</w:t>
            </w:r>
          </w:p>
        </w:tc>
        <w:tc>
          <w:tcPr>
            <w:tcW w:w="73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78726">
            <w:pPr>
              <w:spacing w:before="0" w:after="0" w:line="252" w:lineRule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0"/>
                <w:szCs w:val="20"/>
              </w:rPr>
              <w:t>算法工具首先输出机器可读JSON，供AI智能体继续推理；人可读报告或标注图作为可选产物，不应替代结构化结果。</w:t>
            </w:r>
          </w:p>
        </w:tc>
      </w:tr>
      <w:tr w14:paraId="6E705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A3667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0"/>
                <w:szCs w:val="20"/>
              </w:rPr>
              <w:t>CPU可部署</w:t>
            </w:r>
          </w:p>
        </w:tc>
        <w:tc>
          <w:tcPr>
            <w:tcW w:w="73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8063B">
            <w:pPr>
              <w:spacing w:before="0" w:after="0" w:line="252" w:lineRule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0"/>
                <w:szCs w:val="20"/>
              </w:rPr>
              <w:t>当前基线为CPU推理。开发方必须声明CPU架构、指令集、线程模型、内存和性能要求，不得存在未申报的GPU/CUDA依赖。</w:t>
            </w:r>
          </w:p>
        </w:tc>
      </w:tr>
      <w:tr w14:paraId="0EDD0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43078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0"/>
                <w:szCs w:val="20"/>
              </w:rPr>
              <w:t>环境可复现</w:t>
            </w:r>
          </w:p>
        </w:tc>
        <w:tc>
          <w:tcPr>
            <w:tcW w:w="73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33843">
            <w:pPr>
              <w:spacing w:before="0" w:after="0" w:line="252" w:lineRule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0"/>
                <w:szCs w:val="20"/>
              </w:rPr>
              <w:t>所有Python包和系统</w:t>
            </w:r>
            <w:r>
              <w:rPr>
                <w:rFonts w:hint="eastAsia" w:cs="微软雅黑"/>
                <w:b w:val="0"/>
                <w:sz w:val="20"/>
                <w:szCs w:val="20"/>
                <w:lang w:val="en-US" w:eastAsia="zh-CN"/>
              </w:rPr>
              <w:t>依赖</w:t>
            </w:r>
            <w:r>
              <w:rPr>
                <w:rFonts w:hint="eastAsia" w:ascii="微软雅黑" w:hAnsi="微软雅黑" w:eastAsia="微软雅黑" w:cs="微软雅黑"/>
                <w:b w:val="0"/>
                <w:sz w:val="20"/>
                <w:szCs w:val="20"/>
              </w:rPr>
              <w:t>应版本锁定，禁止依赖开发机中未声明的隐式环境。</w:t>
            </w:r>
          </w:p>
        </w:tc>
      </w:tr>
      <w:tr w14:paraId="74054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1F75E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0"/>
                <w:szCs w:val="20"/>
              </w:rPr>
              <w:t>可观测可诊断</w:t>
            </w:r>
          </w:p>
        </w:tc>
        <w:tc>
          <w:tcPr>
            <w:tcW w:w="73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92B54">
            <w:pPr>
              <w:spacing w:before="0" w:after="0" w:line="252" w:lineRule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0"/>
                <w:szCs w:val="20"/>
              </w:rPr>
              <w:t>服务应提供健康检查、运行日志、统一错误返回和关键耗时信息，便于平台侧诊断。</w:t>
            </w:r>
          </w:p>
        </w:tc>
      </w:tr>
      <w:tr w14:paraId="42204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21EF2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0"/>
                <w:szCs w:val="20"/>
              </w:rPr>
              <w:t>版本可追溯</w:t>
            </w:r>
          </w:p>
        </w:tc>
        <w:tc>
          <w:tcPr>
            <w:tcW w:w="73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64BD0">
            <w:pPr>
              <w:spacing w:before="0" w:after="0" w:line="252" w:lineRule="auto"/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0"/>
                <w:szCs w:val="20"/>
              </w:rPr>
              <w:t>工具版本、模型版本和接口版本必须可区分，输出结果应能追溯到实际运行版本。</w:t>
            </w:r>
          </w:p>
        </w:tc>
      </w:tr>
    </w:tbl>
    <w:p w14:paraId="1EEDDA1B"/>
    <w:p w14:paraId="5F6A66D3">
      <w:pPr>
        <w:pStyle w:val="3"/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3. 参考系统架构</w:t>
      </w:r>
    </w:p>
    <w:p w14:paraId="3B8780D9">
      <w:pPr>
        <w:pStyle w:val="164"/>
        <w:keepLines/>
      </w:pPr>
      <w:r>
        <w:rPr>
          <w:rFonts w:ascii="Consolas" w:hAnsi="Consolas" w:eastAsia="Consolas"/>
          <w:color w:val="1E1E1E"/>
          <w:sz w:val="17"/>
        </w:rPr>
        <w:t>AI智能体 / 统一调度平台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      │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      ├── POST /api/v1/inference  →  孔探检测服务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      ├── POST /api/v1/inference  →  断口分析服务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      ├── POST /api/v1/inference  →  热端部件缺陷检测服务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      ├── POST /api/v1/inference  →  其他算法服务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      │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      └── 接收统一JSON结构结果 → 智能体融合分析 → 综合报告</w:t>
      </w:r>
    </w:p>
    <w:p w14:paraId="1C1D1D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t>原则上，每个算法工具独立封装为可部署服务。上层AI智能体不直接导入各开发方Python模块，不依赖各开发方内部目录结构或私有调用函数。</w:t>
      </w:r>
    </w:p>
    <w:p w14:paraId="4EE0E14A">
      <w:pPr>
        <w:pStyle w:val="3"/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4. 统一技术基线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7"/>
        <w:gridCol w:w="5480"/>
      </w:tblGrid>
      <w:tr w14:paraId="29044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677" w:type="dxa"/>
            <w:shd w:val="clear" w:color="auto" w:fill="BEBEBE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9CD45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  <w:b/>
                <w:bCs w:val="0"/>
                <w:color w:val="262626" w:themeColor="text1" w:themeTint="D9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color w:val="262626" w:themeColor="text1" w:themeTint="D9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项目</w:t>
            </w:r>
          </w:p>
        </w:tc>
        <w:tc>
          <w:tcPr>
            <w:tcW w:w="5480" w:type="dxa"/>
            <w:shd w:val="clear" w:color="auto" w:fill="BEBEBE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D6CFE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  <w:b/>
                <w:bCs w:val="0"/>
                <w:color w:val="262626" w:themeColor="text1" w:themeTint="D9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color w:val="262626" w:themeColor="text1" w:themeTint="D9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统一要求</w:t>
            </w:r>
          </w:p>
        </w:tc>
      </w:tr>
      <w:tr w14:paraId="35E4E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6AD05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服务形式</w:t>
            </w:r>
          </w:p>
        </w:tc>
        <w:tc>
          <w:tcPr>
            <w:tcW w:w="5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6FCBA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REST API</w:t>
            </w:r>
          </w:p>
        </w:tc>
      </w:tr>
      <w:tr w14:paraId="1EE04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F9D52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通信协议</w:t>
            </w:r>
          </w:p>
        </w:tc>
        <w:tc>
          <w:tcPr>
            <w:tcW w:w="5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0FA0C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HTTP；生产环境可由平台统一配置HTTPS</w:t>
            </w:r>
          </w:p>
        </w:tc>
      </w:tr>
      <w:tr w14:paraId="47E3B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3749A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请求/响应字符编码</w:t>
            </w:r>
          </w:p>
        </w:tc>
        <w:tc>
          <w:tcPr>
            <w:tcW w:w="5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3ABC0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UTF-8</w:t>
            </w:r>
          </w:p>
        </w:tc>
      </w:tr>
      <w:tr w14:paraId="411CB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78EC5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结构化响应</w:t>
            </w:r>
          </w:p>
        </w:tc>
        <w:tc>
          <w:tcPr>
            <w:tcW w:w="5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2FE6C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application/json</w:t>
            </w:r>
          </w:p>
        </w:tc>
      </w:tr>
      <w:tr w14:paraId="5775D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1081B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图像上传</w:t>
            </w:r>
          </w:p>
        </w:tc>
        <w:tc>
          <w:tcPr>
            <w:tcW w:w="5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290EF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multipart/form-data</w:t>
            </w:r>
          </w:p>
        </w:tc>
      </w:tr>
      <w:tr w14:paraId="44705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3B868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接口版本</w:t>
            </w:r>
          </w:p>
        </w:tc>
        <w:tc>
          <w:tcPr>
            <w:tcW w:w="5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BC535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/api/v1/...</w:t>
            </w:r>
          </w:p>
        </w:tc>
      </w:tr>
      <w:tr w14:paraId="0376A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E7B9B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推理硬件</w:t>
            </w:r>
          </w:p>
        </w:tc>
        <w:tc>
          <w:tcPr>
            <w:tcW w:w="5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4B805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CPU-only 基线</w:t>
            </w:r>
          </w:p>
        </w:tc>
      </w:tr>
      <w:tr w14:paraId="57DE9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0A342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GPU/CUDA依赖</w:t>
            </w:r>
          </w:p>
        </w:tc>
        <w:tc>
          <w:tcPr>
            <w:tcW w:w="5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97631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基线不允许；确需时必须单独申报并批准</w:t>
            </w:r>
          </w:p>
        </w:tc>
      </w:tr>
      <w:tr w14:paraId="4096C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835F4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Python版本</w:t>
            </w:r>
          </w:p>
        </w:tc>
        <w:tc>
          <w:tcPr>
            <w:tcW w:w="5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8D41C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开发方固定到具体版本，如3.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9</w:t>
            </w:r>
            <w:r>
              <w:rPr>
                <w:rFonts w:ascii="微软雅黑" w:hAnsi="微软雅黑" w:eastAsia="微软雅黑"/>
                <w:b w:val="0"/>
                <w:sz w:val="19"/>
              </w:rPr>
              <w:t>.x</w:t>
            </w:r>
          </w:p>
        </w:tc>
      </w:tr>
      <w:tr w14:paraId="09E71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B0CDE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模型权重</w:t>
            </w:r>
          </w:p>
        </w:tc>
        <w:tc>
          <w:tcPr>
            <w:tcW w:w="5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B832F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本地可加载，路径可配置</w:t>
            </w:r>
          </w:p>
        </w:tc>
      </w:tr>
      <w:tr w14:paraId="45A5E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E59F1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外网依赖</w:t>
            </w:r>
          </w:p>
        </w:tc>
        <w:tc>
          <w:tcPr>
            <w:tcW w:w="5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35D43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运行时原则上不得依赖公网下载模型或数据</w:t>
            </w:r>
          </w:p>
        </w:tc>
      </w:tr>
    </w:tbl>
    <w:p w14:paraId="105451A8"/>
    <w:p w14:paraId="7A913F3C">
      <w:pPr>
        <w:pStyle w:val="3"/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5. 服务接口规范</w:t>
      </w:r>
    </w:p>
    <w:p w14:paraId="54C1F420">
      <w:pPr>
        <w:pStyle w:val="4"/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5.1 健康检查接口</w:t>
      </w:r>
    </w:p>
    <w:p w14:paraId="6CF0EEFE">
      <w:pPr>
        <w:pStyle w:val="164"/>
        <w:keepLines/>
      </w:pPr>
      <w:r>
        <w:rPr>
          <w:rFonts w:ascii="Consolas" w:hAnsi="Consolas" w:eastAsia="Consolas"/>
          <w:color w:val="1E1E1E"/>
          <w:sz w:val="17"/>
        </w:rPr>
        <w:t>GET /health</w:t>
      </w:r>
    </w:p>
    <w:p w14:paraId="0D46334A">
      <w:pPr>
        <w:pStyle w:val="164"/>
        <w:keepLines/>
      </w:pPr>
      <w:r>
        <w:rPr>
          <w:rFonts w:ascii="Consolas" w:hAnsi="Consolas" w:eastAsia="Consolas"/>
          <w:color w:val="1E1E1E"/>
          <w:sz w:val="17"/>
        </w:rPr>
        <w:t>{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"code": 0,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"message": "success",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"status": "healthy",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"tool_name": "borescope_defect_detection",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"tool_version": "1.0.0",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"model_version": "1.0.0"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>}</w:t>
      </w:r>
    </w:p>
    <w:p w14:paraId="40EB4E6A">
      <w:pPr>
        <w:pStyle w:val="16"/>
        <w:numPr>
          <w:ilvl w:val="0"/>
          <w:numId w:val="7"/>
        </w:numPr>
        <w:tabs>
          <w:tab w:val="clear" w:pos="420"/>
        </w:tabs>
        <w:spacing w:after="40"/>
        <w:ind w:left="84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cs="微软雅黑"/>
          <w:sz w:val="21"/>
          <w:lang w:val="en-US" w:eastAsia="zh-CN"/>
        </w:rPr>
        <w:t>健康</w:t>
      </w:r>
      <w:r>
        <w:rPr>
          <w:rFonts w:hint="eastAsia" w:ascii="微软雅黑" w:hAnsi="微软雅黑" w:eastAsia="微软雅黑" w:cs="微软雅黑"/>
          <w:sz w:val="21"/>
        </w:rPr>
        <w:t>检查不得执行完整推理任务，应在较短时间内返回。</w:t>
      </w:r>
    </w:p>
    <w:p w14:paraId="11A38AF6">
      <w:pPr>
        <w:pStyle w:val="16"/>
        <w:numPr>
          <w:ilvl w:val="0"/>
          <w:numId w:val="7"/>
        </w:numPr>
        <w:tabs>
          <w:tab w:val="clear" w:pos="420"/>
        </w:tabs>
        <w:spacing w:after="40"/>
        <w:ind w:left="84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如模型需要预加载，开发方应说明health仅检查进程存活，还是同时检查模型可用状态。</w:t>
      </w:r>
    </w:p>
    <w:p w14:paraId="5F0330DA">
      <w:pPr>
        <w:pStyle w:val="4"/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5.2 推理接口</w:t>
      </w:r>
    </w:p>
    <w:p w14:paraId="708848C4">
      <w:pPr>
        <w:pStyle w:val="164"/>
        <w:keepLines/>
      </w:pPr>
      <w:r>
        <w:rPr>
          <w:rFonts w:ascii="Consolas" w:hAnsi="Consolas" w:eastAsia="Consolas"/>
          <w:color w:val="1E1E1E"/>
          <w:sz w:val="17"/>
        </w:rPr>
        <w:t>POST /api/v1/inference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>Content-Type: multipart/form-data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134"/>
        <w:gridCol w:w="794"/>
        <w:gridCol w:w="1361"/>
        <w:gridCol w:w="3969"/>
      </w:tblGrid>
      <w:tr w14:paraId="7CE1B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BEBEBE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28FB5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  <w:b/>
                <w:bCs w:val="0"/>
                <w:color w:val="262626" w:themeColor="text1" w:themeTint="D9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color w:val="262626" w:themeColor="text1" w:themeTint="D9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字段</w:t>
            </w:r>
          </w:p>
        </w:tc>
        <w:tc>
          <w:tcPr>
            <w:tcW w:w="1134" w:type="dxa"/>
            <w:shd w:val="clear" w:color="auto" w:fill="BEBEBE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DE3C7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  <w:b/>
                <w:bCs w:val="0"/>
                <w:color w:val="262626" w:themeColor="text1" w:themeTint="D9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color w:val="262626" w:themeColor="text1" w:themeTint="D9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类型</w:t>
            </w:r>
          </w:p>
        </w:tc>
        <w:tc>
          <w:tcPr>
            <w:tcW w:w="794" w:type="dxa"/>
            <w:shd w:val="clear" w:color="auto" w:fill="BEBEBE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AA6F7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  <w:b/>
                <w:bCs w:val="0"/>
                <w:color w:val="262626" w:themeColor="text1" w:themeTint="D9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color w:val="262626" w:themeColor="text1" w:themeTint="D9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必填</w:t>
            </w:r>
          </w:p>
        </w:tc>
        <w:tc>
          <w:tcPr>
            <w:tcW w:w="1361" w:type="dxa"/>
            <w:shd w:val="clear" w:color="auto" w:fill="BEBEBE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2A0FB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  <w:b/>
                <w:bCs w:val="0"/>
                <w:color w:val="262626" w:themeColor="text1" w:themeTint="D9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color w:val="262626" w:themeColor="text1" w:themeTint="D9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统一性</w:t>
            </w:r>
          </w:p>
        </w:tc>
        <w:tc>
          <w:tcPr>
            <w:tcW w:w="3969" w:type="dxa"/>
            <w:shd w:val="clear" w:color="auto" w:fill="BEBEBE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13B81">
            <w:pPr>
              <w:spacing w:before="0" w:after="0" w:line="252" w:lineRule="auto"/>
              <w:jc w:val="center"/>
              <w:rPr>
                <w:rFonts w:hint="eastAsia" w:ascii="微软雅黑" w:hAnsi="微软雅黑" w:eastAsia="微软雅黑" w:cs="微软雅黑"/>
                <w:b/>
                <w:bCs w:val="0"/>
                <w:color w:val="262626" w:themeColor="text1" w:themeTint="D9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color w:val="262626" w:themeColor="text1" w:themeTint="D9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说明</w:t>
            </w:r>
          </w:p>
        </w:tc>
      </w:tr>
      <w:tr w14:paraId="0308C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219CB">
            <w:pPr>
              <w:spacing w:before="0" w:after="0" w:line="252" w:lineRule="auto"/>
              <w:jc w:val="center"/>
              <w:rPr>
                <w:sz w:val="20"/>
                <w:szCs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  <w:szCs w:val="20"/>
              </w:rPr>
              <w:t>image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DAEAE">
            <w:pPr>
              <w:spacing w:before="0" w:after="0" w:line="252" w:lineRule="auto"/>
              <w:jc w:val="center"/>
              <w:rPr>
                <w:sz w:val="20"/>
                <w:szCs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  <w:szCs w:val="20"/>
              </w:rPr>
              <w:t>File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F2609">
            <w:pPr>
              <w:spacing w:before="0" w:after="0" w:line="252" w:lineRule="auto"/>
              <w:jc w:val="center"/>
              <w:rPr>
                <w:sz w:val="20"/>
                <w:szCs w:val="20"/>
              </w:rPr>
            </w:pPr>
            <w:r>
              <w:rPr>
                <w:rFonts w:ascii="微软雅黑" w:hAnsi="微软雅黑" w:eastAsia="微软雅黑"/>
                <w:b w:val="0"/>
                <w:color w:val="C00000"/>
                <w:sz w:val="20"/>
                <w:szCs w:val="20"/>
              </w:rPr>
              <w:t>是*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79D60">
            <w:pPr>
              <w:spacing w:before="0" w:after="0" w:line="252" w:lineRule="auto"/>
              <w:jc w:val="center"/>
              <w:rPr>
                <w:sz w:val="20"/>
                <w:szCs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  <w:szCs w:val="20"/>
              </w:rPr>
              <w:t>统一字段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696D3">
            <w:pPr>
              <w:spacing w:before="0" w:after="0" w:line="252" w:lineRule="auto"/>
              <w:rPr>
                <w:sz w:val="20"/>
                <w:szCs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  <w:szCs w:val="20"/>
              </w:rPr>
              <w:t>单图工具使用；多图工具可使用images并在填报表说明</w:t>
            </w:r>
          </w:p>
        </w:tc>
      </w:tr>
      <w:tr w14:paraId="3D162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B1540">
            <w:pPr>
              <w:spacing w:before="0" w:after="0" w:line="252" w:lineRule="auto"/>
              <w:jc w:val="center"/>
              <w:rPr>
                <w:sz w:val="20"/>
                <w:szCs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  <w:szCs w:val="20"/>
              </w:rPr>
              <w:t>task_id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12EAA">
            <w:pPr>
              <w:spacing w:before="0" w:after="0" w:line="252" w:lineRule="auto"/>
              <w:jc w:val="center"/>
              <w:rPr>
                <w:sz w:val="20"/>
                <w:szCs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  <w:szCs w:val="20"/>
              </w:rPr>
              <w:t>String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CC882">
            <w:pPr>
              <w:spacing w:before="0" w:after="0" w:line="252" w:lineRule="auto"/>
              <w:jc w:val="center"/>
              <w:rPr>
                <w:sz w:val="20"/>
                <w:szCs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  <w:szCs w:val="20"/>
              </w:rPr>
              <w:t>是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19CC5">
            <w:pPr>
              <w:spacing w:before="0" w:after="0" w:line="252" w:lineRule="auto"/>
              <w:jc w:val="center"/>
              <w:rPr>
                <w:sz w:val="20"/>
                <w:szCs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  <w:szCs w:val="20"/>
              </w:rPr>
              <w:t>统一字段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729CF">
            <w:pPr>
              <w:spacing w:before="0" w:after="0" w:line="252" w:lineRule="auto"/>
              <w:rPr>
                <w:sz w:val="20"/>
                <w:szCs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  <w:szCs w:val="20"/>
              </w:rPr>
              <w:t>调用方生成的任务唯一编号，原样返回</w:t>
            </w:r>
          </w:p>
        </w:tc>
      </w:tr>
      <w:tr w14:paraId="0A03A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3AB8B">
            <w:pPr>
              <w:spacing w:before="0" w:after="0" w:line="252" w:lineRule="auto"/>
              <w:jc w:val="center"/>
              <w:rPr>
                <w:sz w:val="20"/>
                <w:szCs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  <w:szCs w:val="20"/>
              </w:rPr>
              <w:t>parameters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BAFBC">
            <w:pPr>
              <w:spacing w:before="0" w:after="0" w:line="252" w:lineRule="auto"/>
              <w:jc w:val="center"/>
              <w:rPr>
                <w:sz w:val="20"/>
                <w:szCs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  <w:szCs w:val="20"/>
              </w:rPr>
              <w:t>JSON String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33D89">
            <w:pPr>
              <w:spacing w:before="0" w:after="0" w:line="252" w:lineRule="auto"/>
              <w:jc w:val="center"/>
              <w:rPr>
                <w:sz w:val="20"/>
                <w:szCs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  <w:szCs w:val="20"/>
              </w:rPr>
              <w:t>否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6A7A6">
            <w:pPr>
              <w:spacing w:before="0" w:after="0" w:line="252" w:lineRule="auto"/>
              <w:jc w:val="center"/>
              <w:rPr>
                <w:sz w:val="20"/>
                <w:szCs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  <w:szCs w:val="20"/>
              </w:rPr>
              <w:t>统一字段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BBD7B">
            <w:pPr>
              <w:spacing w:before="0" w:after="0" w:line="252" w:lineRule="auto"/>
              <w:rPr>
                <w:sz w:val="20"/>
                <w:szCs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  <w:szCs w:val="20"/>
              </w:rPr>
              <w:t>算法特有可调参数；必须给出默认值和取值范围</w:t>
            </w:r>
          </w:p>
        </w:tc>
      </w:tr>
      <w:tr w14:paraId="049D5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98D0C">
            <w:pPr>
              <w:spacing w:before="0" w:after="0" w:line="252" w:lineRule="auto"/>
              <w:jc w:val="center"/>
              <w:rPr>
                <w:sz w:val="20"/>
                <w:szCs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  <w:szCs w:val="20"/>
              </w:rPr>
              <w:t>engine_id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A235D">
            <w:pPr>
              <w:spacing w:before="0" w:after="0" w:line="252" w:lineRule="auto"/>
              <w:jc w:val="center"/>
              <w:rPr>
                <w:sz w:val="20"/>
                <w:szCs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  <w:szCs w:val="20"/>
              </w:rPr>
              <w:t>String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BFFFC">
            <w:pPr>
              <w:spacing w:before="0" w:after="0" w:line="252" w:lineRule="auto"/>
              <w:jc w:val="center"/>
              <w:rPr>
                <w:sz w:val="20"/>
                <w:szCs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  <w:szCs w:val="20"/>
              </w:rPr>
              <w:t>否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0C937">
            <w:pPr>
              <w:spacing w:before="0" w:after="0" w:line="252" w:lineRule="auto"/>
              <w:jc w:val="center"/>
              <w:rPr>
                <w:sz w:val="20"/>
                <w:szCs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  <w:szCs w:val="20"/>
              </w:rPr>
              <w:t>公共扩展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38854">
            <w:pPr>
              <w:spacing w:before="0" w:after="0" w:line="252" w:lineRule="auto"/>
              <w:rPr>
                <w:sz w:val="20"/>
                <w:szCs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  <w:szCs w:val="20"/>
              </w:rPr>
              <w:t>发动机编号</w:t>
            </w:r>
          </w:p>
        </w:tc>
      </w:tr>
      <w:tr w14:paraId="0BC38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F4D77">
            <w:pPr>
              <w:spacing w:before="0" w:after="0" w:line="252" w:lineRule="auto"/>
              <w:jc w:val="center"/>
              <w:rPr>
                <w:sz w:val="20"/>
                <w:szCs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  <w:szCs w:val="20"/>
              </w:rPr>
              <w:t>component_id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C2BA8">
            <w:pPr>
              <w:spacing w:before="0" w:after="0" w:line="252" w:lineRule="auto"/>
              <w:jc w:val="center"/>
              <w:rPr>
                <w:sz w:val="20"/>
                <w:szCs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  <w:szCs w:val="20"/>
              </w:rPr>
              <w:t>String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5D769">
            <w:pPr>
              <w:spacing w:before="0" w:after="0" w:line="252" w:lineRule="auto"/>
              <w:jc w:val="center"/>
              <w:rPr>
                <w:sz w:val="20"/>
                <w:szCs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  <w:szCs w:val="20"/>
              </w:rPr>
              <w:t>否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3A578">
            <w:pPr>
              <w:spacing w:before="0" w:after="0" w:line="252" w:lineRule="auto"/>
              <w:jc w:val="center"/>
              <w:rPr>
                <w:sz w:val="20"/>
                <w:szCs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  <w:szCs w:val="20"/>
              </w:rPr>
              <w:t>公共扩展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8CF32">
            <w:pPr>
              <w:spacing w:before="0" w:after="0" w:line="252" w:lineRule="auto"/>
              <w:rPr>
                <w:sz w:val="20"/>
                <w:szCs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  <w:szCs w:val="20"/>
              </w:rPr>
              <w:t>部件编号/部位编号</w:t>
            </w:r>
          </w:p>
        </w:tc>
      </w:tr>
      <w:tr w14:paraId="330E7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316D0">
            <w:pPr>
              <w:spacing w:before="0" w:after="0" w:line="252" w:lineRule="auto"/>
              <w:jc w:val="center"/>
              <w:rPr>
                <w:sz w:val="20"/>
                <w:szCs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  <w:szCs w:val="20"/>
              </w:rPr>
              <w:t>image_id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05331">
            <w:pPr>
              <w:spacing w:before="0" w:after="0" w:line="252" w:lineRule="auto"/>
              <w:jc w:val="center"/>
              <w:rPr>
                <w:sz w:val="20"/>
                <w:szCs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  <w:szCs w:val="20"/>
              </w:rPr>
              <w:t>String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FD4B0">
            <w:pPr>
              <w:spacing w:before="0" w:after="0" w:line="252" w:lineRule="auto"/>
              <w:jc w:val="center"/>
              <w:rPr>
                <w:sz w:val="20"/>
                <w:szCs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  <w:szCs w:val="20"/>
              </w:rPr>
              <w:t>否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91A01">
            <w:pPr>
              <w:spacing w:before="0" w:after="0" w:line="252" w:lineRule="auto"/>
              <w:jc w:val="center"/>
              <w:rPr>
                <w:sz w:val="20"/>
                <w:szCs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  <w:szCs w:val="20"/>
              </w:rPr>
              <w:t>公共扩展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3CC09">
            <w:pPr>
              <w:spacing w:before="0" w:after="0" w:line="252" w:lineRule="auto"/>
              <w:rPr>
                <w:sz w:val="20"/>
                <w:szCs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  <w:szCs w:val="20"/>
              </w:rPr>
              <w:t>图像业务编号</w:t>
            </w:r>
          </w:p>
        </w:tc>
      </w:tr>
      <w:tr w14:paraId="16DA0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9FABD">
            <w:pPr>
              <w:spacing w:before="0" w:after="0" w:line="252" w:lineRule="auto"/>
              <w:jc w:val="center"/>
              <w:rPr>
                <w:sz w:val="20"/>
                <w:szCs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  <w:szCs w:val="20"/>
              </w:rPr>
              <w:t>trace_id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94A39">
            <w:pPr>
              <w:spacing w:before="0" w:after="0" w:line="252" w:lineRule="auto"/>
              <w:jc w:val="center"/>
              <w:rPr>
                <w:sz w:val="20"/>
                <w:szCs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  <w:szCs w:val="20"/>
              </w:rPr>
              <w:t>String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997C7">
            <w:pPr>
              <w:spacing w:before="0" w:after="0" w:line="252" w:lineRule="auto"/>
              <w:jc w:val="center"/>
              <w:rPr>
                <w:sz w:val="20"/>
                <w:szCs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  <w:szCs w:val="20"/>
              </w:rPr>
              <w:t>否</w:t>
            </w: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92899">
            <w:pPr>
              <w:spacing w:before="0" w:after="0" w:line="252" w:lineRule="auto"/>
              <w:jc w:val="center"/>
              <w:rPr>
                <w:sz w:val="20"/>
                <w:szCs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  <w:szCs w:val="20"/>
              </w:rPr>
              <w:t>公共扩展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2F40B">
            <w:pPr>
              <w:spacing w:before="0" w:after="0" w:line="252" w:lineRule="auto"/>
              <w:rPr>
                <w:sz w:val="20"/>
                <w:szCs w:val="20"/>
              </w:rPr>
            </w:pPr>
            <w:r>
              <w:rPr>
                <w:rFonts w:ascii="微软雅黑" w:hAnsi="微软雅黑" w:eastAsia="微软雅黑"/>
                <w:b w:val="0"/>
                <w:sz w:val="20"/>
                <w:szCs w:val="20"/>
              </w:rPr>
              <w:t>链路追踪编号；如未提供可由服务生成</w:t>
            </w:r>
          </w:p>
        </w:tc>
      </w:tr>
    </w:tbl>
    <w:p w14:paraId="56AC1CD7"/>
    <w:p w14:paraId="375ABC4B">
      <w:pPr>
        <w:rPr>
          <w:i/>
          <w:iCs/>
          <w:color w:val="C00000"/>
        </w:rPr>
      </w:pPr>
      <w:r>
        <w:rPr>
          <w:i/>
          <w:iCs/>
          <w:color w:val="C00000"/>
        </w:rPr>
        <w:t>* 多图、图像+元数据、成组图像等特殊输入形式允许扩展，但必须在配套Excel中完整列出，并提供可执行请求样例。</w:t>
      </w:r>
    </w:p>
    <w:p w14:paraId="5AC2E80E">
      <w:pPr>
        <w:pStyle w:val="4"/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5.3 请求参数原则</w:t>
      </w:r>
    </w:p>
    <w:p w14:paraId="72F05E28">
      <w:pPr>
        <w:pStyle w:val="16"/>
        <w:numPr>
          <w:ilvl w:val="0"/>
          <w:numId w:val="8"/>
        </w:numPr>
        <w:tabs>
          <w:tab w:val="clear" w:pos="420"/>
        </w:tabs>
        <w:spacing w:after="40"/>
        <w:ind w:left="840" w:leftChars="0" w:hanging="420" w:firstLineChars="0"/>
      </w:pPr>
      <w:r>
        <w:rPr>
          <w:rFonts w:ascii="微软雅黑" w:hAnsi="微软雅黑" w:eastAsia="微软雅黑"/>
          <w:sz w:val="21"/>
        </w:rPr>
        <w:t>参数名称使用小写英文与下划线，例如 confidence_threshold。</w:t>
      </w:r>
    </w:p>
    <w:p w14:paraId="5542540B">
      <w:pPr>
        <w:pStyle w:val="16"/>
        <w:numPr>
          <w:ilvl w:val="0"/>
          <w:numId w:val="8"/>
        </w:numPr>
        <w:tabs>
          <w:tab w:val="clear" w:pos="420"/>
        </w:tabs>
        <w:spacing w:after="40"/>
        <w:ind w:left="840" w:leftChars="0" w:hanging="420" w:firstLineChars="0"/>
      </w:pPr>
      <w:r>
        <w:rPr>
          <w:rFonts w:ascii="微软雅黑" w:hAnsi="微软雅黑" w:eastAsia="微软雅黑"/>
          <w:sz w:val="21"/>
        </w:rPr>
        <w:t>不得要求AI智能体了解模型内部张量名称、Python对象或本地绝对路径。</w:t>
      </w:r>
    </w:p>
    <w:p w14:paraId="6CB8AF1B">
      <w:pPr>
        <w:pStyle w:val="16"/>
        <w:numPr>
          <w:ilvl w:val="0"/>
          <w:numId w:val="8"/>
        </w:numPr>
        <w:tabs>
          <w:tab w:val="clear" w:pos="420"/>
        </w:tabs>
        <w:spacing w:after="40"/>
        <w:ind w:left="840" w:leftChars="0" w:hanging="420" w:firstLineChars="0"/>
      </w:pPr>
      <w:r>
        <w:rPr>
          <w:rFonts w:ascii="微软雅黑" w:hAnsi="微软雅黑" w:eastAsia="微软雅黑"/>
          <w:sz w:val="21"/>
        </w:rPr>
        <w:t>算法参数应提供默认值；非必要参数不得设置为必填。</w:t>
      </w:r>
    </w:p>
    <w:p w14:paraId="77E9499C">
      <w:pPr>
        <w:pStyle w:val="16"/>
        <w:numPr>
          <w:ilvl w:val="0"/>
          <w:numId w:val="8"/>
        </w:numPr>
        <w:tabs>
          <w:tab w:val="clear" w:pos="420"/>
        </w:tabs>
        <w:spacing w:after="40"/>
        <w:ind w:left="840" w:leftChars="0" w:hanging="420" w:firstLineChars="0"/>
      </w:pPr>
      <w:r>
        <w:rPr>
          <w:rFonts w:ascii="微软雅黑" w:hAnsi="微软雅黑" w:eastAsia="微软雅黑"/>
          <w:sz w:val="21"/>
        </w:rPr>
        <w:t>阈值类参数须明确单位、范围、默认值和越界处理方式。</w:t>
      </w:r>
    </w:p>
    <w:p w14:paraId="68B213C2">
      <w:pPr>
        <w:pStyle w:val="3"/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6. 图像输入规范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4020"/>
        <w:gridCol w:w="3067"/>
      </w:tblGrid>
      <w:tr w14:paraId="040F1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BEBEBE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2303D">
            <w:pPr>
              <w:spacing w:before="0" w:after="0" w:line="252" w:lineRule="auto"/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262626" w:themeColor="text1" w:themeTint="D9"/>
                <w:sz w:val="1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项目</w:t>
            </w:r>
          </w:p>
        </w:tc>
        <w:tc>
          <w:tcPr>
            <w:tcW w:w="4020" w:type="dxa"/>
            <w:shd w:val="clear" w:color="auto" w:fill="BEBEBE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7AA52">
            <w:pPr>
              <w:spacing w:before="0" w:after="0" w:line="252" w:lineRule="auto"/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262626" w:themeColor="text1" w:themeTint="D9"/>
                <w:sz w:val="1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必须填写内容</w:t>
            </w:r>
          </w:p>
        </w:tc>
        <w:tc>
          <w:tcPr>
            <w:tcW w:w="3067" w:type="dxa"/>
            <w:shd w:val="clear" w:color="auto" w:fill="BEBEBE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EBA6D">
            <w:pPr>
              <w:spacing w:before="0" w:after="0" w:line="252" w:lineRule="auto"/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262626" w:themeColor="text1" w:themeTint="D9"/>
                <w:sz w:val="1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示例</w:t>
            </w:r>
          </w:p>
        </w:tc>
      </w:tr>
      <w:tr w14:paraId="5E6C5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F1D08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支持格式</w:t>
            </w:r>
          </w:p>
        </w:tc>
        <w:tc>
          <w:tcPr>
            <w:tcW w:w="4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480A6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JPEG/JPG、PNG、TIFF等</w:t>
            </w:r>
          </w:p>
        </w:tc>
        <w:tc>
          <w:tcPr>
            <w:tcW w:w="30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0B795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JPG、PNG、TIFF</w:t>
            </w:r>
          </w:p>
        </w:tc>
      </w:tr>
      <w:tr w14:paraId="188F4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EB08D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色彩模式</w:t>
            </w:r>
          </w:p>
        </w:tc>
        <w:tc>
          <w:tcPr>
            <w:tcW w:w="4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13DB1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RGB、BGR、灰度、16bit等</w:t>
            </w:r>
          </w:p>
        </w:tc>
        <w:tc>
          <w:tcPr>
            <w:tcW w:w="30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44C2B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RGB/Gray</w:t>
            </w:r>
          </w:p>
        </w:tc>
      </w:tr>
      <w:tr w14:paraId="09CAE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74737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最小分辨率</w:t>
            </w:r>
          </w:p>
        </w:tc>
        <w:tc>
          <w:tcPr>
            <w:tcW w:w="4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36679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宽×高像素</w:t>
            </w:r>
          </w:p>
        </w:tc>
        <w:tc>
          <w:tcPr>
            <w:tcW w:w="30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53971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512×512</w:t>
            </w:r>
          </w:p>
        </w:tc>
      </w:tr>
      <w:tr w14:paraId="2733E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31B4F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推荐分辨率</w:t>
            </w:r>
          </w:p>
        </w:tc>
        <w:tc>
          <w:tcPr>
            <w:tcW w:w="4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7F998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典型生产输入</w:t>
            </w:r>
          </w:p>
        </w:tc>
        <w:tc>
          <w:tcPr>
            <w:tcW w:w="30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C1103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2048×2048</w:t>
            </w:r>
          </w:p>
        </w:tc>
      </w:tr>
      <w:tr w14:paraId="1B805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FA1D5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最大分辨率</w:t>
            </w:r>
          </w:p>
        </w:tc>
        <w:tc>
          <w:tcPr>
            <w:tcW w:w="4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49FF3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超过后的行为必须说明</w:t>
            </w:r>
          </w:p>
        </w:tc>
        <w:tc>
          <w:tcPr>
            <w:tcW w:w="30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B5594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8192×8192</w:t>
            </w:r>
          </w:p>
        </w:tc>
      </w:tr>
      <w:tr w14:paraId="4BB0B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6940C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最大文件大小</w:t>
            </w:r>
          </w:p>
        </w:tc>
        <w:tc>
          <w:tcPr>
            <w:tcW w:w="4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AA3A6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MB</w:t>
            </w:r>
          </w:p>
        </w:tc>
        <w:tc>
          <w:tcPr>
            <w:tcW w:w="30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5AEA4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50 MB</w:t>
            </w:r>
          </w:p>
        </w:tc>
      </w:tr>
      <w:tr w14:paraId="42713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66499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多图输入</w:t>
            </w:r>
          </w:p>
        </w:tc>
        <w:tc>
          <w:tcPr>
            <w:tcW w:w="4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EE6ED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是否支持、最大张数、顺序语义</w:t>
            </w:r>
          </w:p>
        </w:tc>
        <w:tc>
          <w:tcPr>
            <w:tcW w:w="30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A591F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支持，2~20张</w:t>
            </w:r>
          </w:p>
        </w:tc>
      </w:tr>
      <w:tr w14:paraId="6B908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BE31E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预处理</w:t>
            </w:r>
          </w:p>
        </w:tc>
        <w:tc>
          <w:tcPr>
            <w:tcW w:w="4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0D4B1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Resize/Crop/Normalize/去噪等完整流程</w:t>
            </w:r>
          </w:p>
        </w:tc>
        <w:tc>
          <w:tcPr>
            <w:tcW w:w="30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09131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保持长宽比缩放至1024</w:t>
            </w:r>
          </w:p>
        </w:tc>
      </w:tr>
      <w:tr w14:paraId="2C588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9D883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EXIF方向</w:t>
            </w:r>
          </w:p>
        </w:tc>
        <w:tc>
          <w:tcPr>
            <w:tcW w:w="4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90537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是否自动校正</w:t>
            </w:r>
          </w:p>
        </w:tc>
        <w:tc>
          <w:tcPr>
            <w:tcW w:w="30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A3F1C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</w:tr>
      <w:tr w14:paraId="1DAA4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332E7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异常图像处理</w:t>
            </w:r>
          </w:p>
        </w:tc>
        <w:tc>
          <w:tcPr>
            <w:tcW w:w="4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C9FAC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损坏、空文件、通道不符等</w:t>
            </w:r>
          </w:p>
        </w:tc>
        <w:tc>
          <w:tcPr>
            <w:tcW w:w="30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01550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返回统一输入错误码</w:t>
            </w:r>
          </w:p>
        </w:tc>
      </w:tr>
    </w:tbl>
    <w:p w14:paraId="692BB24A"/>
    <w:p w14:paraId="2C5F1179">
      <w:pPr>
        <w:pStyle w:val="3"/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7. 统一响应结构</w:t>
      </w:r>
    </w:p>
    <w:p w14:paraId="234F5C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t>所有推理接口应返回统一“外壳”结构。算法特有结果放入 result 对象中；不得将成功时返回JSON、失败时返回纯文本或HTML错误页。</w:t>
      </w:r>
    </w:p>
    <w:p w14:paraId="6C66A558">
      <w:pPr>
        <w:pStyle w:val="164"/>
        <w:keepLines/>
      </w:pPr>
      <w:r>
        <w:rPr>
          <w:rFonts w:ascii="Consolas" w:hAnsi="Consolas" w:eastAsia="Consolas"/>
          <w:color w:val="1E1E1E"/>
          <w:sz w:val="17"/>
        </w:rPr>
        <w:t>{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"code": 0,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"message": "success",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"task_id": "TASK202608140001",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"trace_id": "TRACE-001",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"tool": {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  "tool_name": "borescope_defect_detection",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  "tool_version": "1.0.0",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  "model_version": "2.1.0",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  "api_version": "v1"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},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"input": {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  "image_name": "001.jpg",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  "width": 2048,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  "height": 2048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},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"performance": {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  "processing_time_ms": 3260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},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"result": {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  "status": "abnormal",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  "summary": "检测到1处疑似裂纹缺陷",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  "defects": [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    {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      "defect_id": "D001",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      "defect_type": "crack",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      "defect_name_cn": "裂纹",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      "confidence": 0.932,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      "severity": "medium",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      "location": {"type": "bbox", "bbox": [120, 230, 460, 580]},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      "description": "叶片区域存在疑似裂纹"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    }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  ]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},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"artifacts": []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>}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1467"/>
        <w:gridCol w:w="5563"/>
      </w:tblGrid>
      <w:tr w14:paraId="37290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71" w:type="dxa"/>
            <w:shd w:val="clear" w:color="auto" w:fill="BEBEBE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63529">
            <w:pPr>
              <w:spacing w:before="0" w:after="0" w:line="252" w:lineRule="auto"/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262626" w:themeColor="text1" w:themeTint="D9"/>
                <w:sz w:val="1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一级字段</w:t>
            </w:r>
          </w:p>
        </w:tc>
        <w:tc>
          <w:tcPr>
            <w:tcW w:w="1467" w:type="dxa"/>
            <w:shd w:val="clear" w:color="auto" w:fill="BEBEBE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600D1">
            <w:pPr>
              <w:spacing w:before="0" w:after="0" w:line="252" w:lineRule="auto"/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262626" w:themeColor="text1" w:themeTint="D9"/>
                <w:sz w:val="1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必填</w:t>
            </w:r>
          </w:p>
        </w:tc>
        <w:tc>
          <w:tcPr>
            <w:tcW w:w="5563" w:type="dxa"/>
            <w:shd w:val="clear" w:color="auto" w:fill="BEBEBE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2E13F">
            <w:pPr>
              <w:spacing w:before="0" w:after="0" w:line="252" w:lineRule="auto"/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262626" w:themeColor="text1" w:themeTint="D9"/>
                <w:sz w:val="1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说明</w:t>
            </w:r>
          </w:p>
        </w:tc>
      </w:tr>
      <w:tr w14:paraId="70784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60247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code</w:t>
            </w:r>
          </w:p>
        </w:tc>
        <w:tc>
          <w:tcPr>
            <w:tcW w:w="14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1308A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55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8D1F4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业务状态码；0表示成功</w:t>
            </w:r>
          </w:p>
        </w:tc>
      </w:tr>
      <w:tr w14:paraId="423F8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60528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message</w:t>
            </w:r>
          </w:p>
        </w:tc>
        <w:tc>
          <w:tcPr>
            <w:tcW w:w="14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1A44C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55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CD3D0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简要状态说明</w:t>
            </w:r>
          </w:p>
        </w:tc>
      </w:tr>
      <w:tr w14:paraId="54C37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0AC8F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task_id</w:t>
            </w:r>
          </w:p>
        </w:tc>
        <w:tc>
          <w:tcPr>
            <w:tcW w:w="14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8D97B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55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7AAD9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与请求一致</w:t>
            </w:r>
          </w:p>
        </w:tc>
      </w:tr>
      <w:tr w14:paraId="781FA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87E9F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trace_id</w:t>
            </w:r>
          </w:p>
        </w:tc>
        <w:tc>
          <w:tcPr>
            <w:tcW w:w="14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8EC18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建议</w:t>
            </w:r>
          </w:p>
        </w:tc>
        <w:tc>
          <w:tcPr>
            <w:tcW w:w="55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CC84C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便于日志追踪</w:t>
            </w:r>
          </w:p>
        </w:tc>
      </w:tr>
      <w:tr w14:paraId="5BA8A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5078D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tool</w:t>
            </w:r>
          </w:p>
        </w:tc>
        <w:tc>
          <w:tcPr>
            <w:tcW w:w="14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E1CFF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55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A4B96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工具、模型和API版本信息</w:t>
            </w:r>
          </w:p>
        </w:tc>
      </w:tr>
      <w:tr w14:paraId="22E8D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9BCAB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input</w:t>
            </w:r>
          </w:p>
        </w:tc>
        <w:tc>
          <w:tcPr>
            <w:tcW w:w="14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C4712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55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91966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实际处理输入的关键元信息</w:t>
            </w:r>
          </w:p>
        </w:tc>
      </w:tr>
      <w:tr w14:paraId="31361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EEE55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performance</w:t>
            </w:r>
          </w:p>
        </w:tc>
        <w:tc>
          <w:tcPr>
            <w:tcW w:w="14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A65DA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55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3C3E1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至少包含本次处理总耗时</w:t>
            </w:r>
          </w:p>
        </w:tc>
      </w:tr>
      <w:tr w14:paraId="1B72B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11FD1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result</w:t>
            </w:r>
          </w:p>
        </w:tc>
        <w:tc>
          <w:tcPr>
            <w:tcW w:w="14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F37E9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55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ABEC8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算法结构化结果</w:t>
            </w:r>
          </w:p>
        </w:tc>
      </w:tr>
      <w:tr w14:paraId="5CA9D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1BE53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artifacts</w:t>
            </w:r>
          </w:p>
        </w:tc>
        <w:tc>
          <w:tcPr>
            <w:tcW w:w="14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411FF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否</w:t>
            </w:r>
          </w:p>
        </w:tc>
        <w:tc>
          <w:tcPr>
            <w:tcW w:w="55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6FF28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标注图、单工具报告等衍生产物信息</w:t>
            </w:r>
          </w:p>
        </w:tc>
      </w:tr>
    </w:tbl>
    <w:p w14:paraId="1A65C555"/>
    <w:p w14:paraId="3BC26805">
      <w:pPr>
        <w:pStyle w:val="4"/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7.1 result 字段设计原则</w:t>
      </w:r>
    </w:p>
    <w:p w14:paraId="79A6E6A7">
      <w:pPr>
        <w:pStyle w:val="16"/>
        <w:numPr>
          <w:ilvl w:val="0"/>
          <w:numId w:val="9"/>
        </w:numPr>
        <w:tabs>
          <w:tab w:val="clear" w:pos="420"/>
        </w:tabs>
        <w:spacing w:after="40"/>
        <w:ind w:left="840" w:leftChars="0" w:hanging="420" w:firstLineChars="0"/>
      </w:pPr>
      <w:r>
        <w:rPr>
          <w:rFonts w:ascii="微软雅黑" w:hAnsi="微软雅黑" w:eastAsia="微软雅黑"/>
          <w:sz w:val="21"/>
        </w:rPr>
        <w:t>检测类工具建议返回 defects 数组；分类/判定类工具可返回 label、score、conclusion 等字段。</w:t>
      </w:r>
    </w:p>
    <w:p w14:paraId="58556442">
      <w:pPr>
        <w:pStyle w:val="16"/>
        <w:numPr>
          <w:ilvl w:val="0"/>
          <w:numId w:val="9"/>
        </w:numPr>
        <w:tabs>
          <w:tab w:val="clear" w:pos="420"/>
        </w:tabs>
        <w:spacing w:after="40"/>
        <w:ind w:left="840" w:leftChars="0" w:hanging="420" w:firstLineChars="0"/>
      </w:pPr>
      <w:r>
        <w:rPr>
          <w:rFonts w:ascii="微软雅黑" w:hAnsi="微软雅黑" w:eastAsia="微软雅黑"/>
          <w:sz w:val="21"/>
        </w:rPr>
        <w:t>缺陷类别应同时给出稳定英文编码和中文名称，避免仅输出自然语言。</w:t>
      </w:r>
    </w:p>
    <w:p w14:paraId="772E1DE7">
      <w:pPr>
        <w:pStyle w:val="16"/>
        <w:numPr>
          <w:ilvl w:val="0"/>
          <w:numId w:val="9"/>
        </w:numPr>
        <w:tabs>
          <w:tab w:val="clear" w:pos="420"/>
        </w:tabs>
        <w:spacing w:after="40"/>
        <w:ind w:left="840" w:leftChars="0" w:hanging="420" w:firstLineChars="0"/>
      </w:pPr>
      <w:r>
        <w:rPr>
          <w:rFonts w:ascii="微软雅黑" w:hAnsi="微软雅黑" w:eastAsia="微软雅黑"/>
          <w:sz w:val="21"/>
        </w:rPr>
        <w:t>置信度统一建议使用0~1浮点数；如算法不具备概率意义，应明确 score 的统计含义。</w:t>
      </w:r>
    </w:p>
    <w:p w14:paraId="0C85F6D2">
      <w:pPr>
        <w:pStyle w:val="16"/>
        <w:numPr>
          <w:ilvl w:val="0"/>
          <w:numId w:val="9"/>
        </w:numPr>
        <w:tabs>
          <w:tab w:val="clear" w:pos="420"/>
        </w:tabs>
        <w:spacing w:after="40"/>
        <w:ind w:left="840" w:leftChars="0" w:hanging="420" w:firstLineChars="0"/>
      </w:pPr>
      <w:r>
        <w:rPr>
          <w:rFonts w:ascii="微软雅黑" w:hAnsi="微软雅黑" w:eastAsia="微软雅黑"/>
          <w:sz w:val="21"/>
        </w:rPr>
        <w:t>位置字段应明确坐标系。bbox建议定义为 [x_min, y_min, x_max, y_max]，原点位于原始图像左上角，单位为像素。</w:t>
      </w:r>
    </w:p>
    <w:p w14:paraId="58A863FB">
      <w:pPr>
        <w:pStyle w:val="16"/>
        <w:numPr>
          <w:ilvl w:val="0"/>
          <w:numId w:val="9"/>
        </w:numPr>
        <w:tabs>
          <w:tab w:val="clear" w:pos="420"/>
        </w:tabs>
        <w:spacing w:after="40"/>
        <w:ind w:left="840" w:leftChars="0" w:hanging="420" w:firstLineChars="0"/>
      </w:pPr>
      <w:r>
        <w:rPr>
          <w:rFonts w:ascii="微软雅黑" w:hAnsi="微软雅黑" w:eastAsia="微软雅黑"/>
          <w:sz w:val="21"/>
        </w:rPr>
        <w:t>分割结果可使用 polygon、mask artifact 或其他明确定义的方式，不建议将大尺寸mask直接嵌入主JSON。</w:t>
      </w:r>
    </w:p>
    <w:p w14:paraId="5F6174AB">
      <w:pPr>
        <w:pStyle w:val="16"/>
        <w:numPr>
          <w:ilvl w:val="0"/>
          <w:numId w:val="9"/>
        </w:numPr>
        <w:tabs>
          <w:tab w:val="clear" w:pos="420"/>
        </w:tabs>
        <w:spacing w:after="40"/>
        <w:ind w:left="840" w:leftChars="0" w:hanging="420" w:firstLineChars="0"/>
      </w:pPr>
      <w:r>
        <w:rPr>
          <w:rFonts w:ascii="微软雅黑" w:hAnsi="微软雅黑" w:eastAsia="微软雅黑"/>
          <w:sz w:val="21"/>
        </w:rPr>
        <w:t>算法无法给出严重度时，不得伪造severity，可返回null并在字段说明中标明“不支持”。</w:t>
      </w:r>
    </w:p>
    <w:p w14:paraId="5460FA87">
      <w:pPr>
        <w:pStyle w:val="4"/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7.2 报告与衍生产物</w:t>
      </w:r>
    </w:p>
    <w:p w14:paraId="0CD71F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t>建议专业算法服务输出结构化结果，由AI智能体统一生成最终综合报告。若算法工具自身必须生成标注图、HTML/PDF/Word或专业分析报告，应通过 artifacts 返回产物元信息，而不是仅返回一个不可解析的报告文件。</w:t>
      </w:r>
    </w:p>
    <w:p w14:paraId="4724CCED">
      <w:pPr>
        <w:pStyle w:val="164"/>
        <w:keepLines/>
      </w:pPr>
      <w:r>
        <w:rPr>
          <w:rFonts w:ascii="Consolas" w:hAnsi="Consolas" w:eastAsia="Consolas"/>
          <w:color w:val="1E1E1E"/>
          <w:sz w:val="17"/>
        </w:rPr>
        <w:t>"artifacts": [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{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  "artifact_type": "annotated_image",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  "mime_type": "image/png",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  "name": "001_annotated.png",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  "uri": "/artifacts/TASK202608140001/001_annotated.png"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}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>]</w:t>
      </w:r>
    </w:p>
    <w:p w14:paraId="3EEE1868">
      <w:pPr>
        <w:pStyle w:val="3"/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8. 错误码与异常处理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247"/>
        <w:gridCol w:w="3217"/>
        <w:gridCol w:w="3798"/>
      </w:tblGrid>
      <w:tr w14:paraId="7D85A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BEBEBE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BA9D2">
            <w:pPr>
              <w:spacing w:before="0" w:after="0" w:line="252" w:lineRule="auto"/>
              <w:jc w:val="center"/>
              <w:rPr>
                <w:rFonts w:ascii="微软雅黑" w:hAnsi="微软雅黑" w:eastAsia="微软雅黑"/>
                <w:b/>
                <w:color w:val="262626" w:themeColor="text1" w:themeTint="D9"/>
                <w:sz w:val="1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262626" w:themeColor="text1" w:themeTint="D9"/>
                <w:sz w:val="1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业务码</w:t>
            </w:r>
          </w:p>
        </w:tc>
        <w:tc>
          <w:tcPr>
            <w:tcW w:w="1247" w:type="dxa"/>
            <w:shd w:val="clear" w:color="auto" w:fill="BEBEBE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17C7F">
            <w:pPr>
              <w:spacing w:before="0" w:after="0" w:line="252" w:lineRule="auto"/>
              <w:jc w:val="center"/>
              <w:rPr>
                <w:rFonts w:ascii="微软雅黑" w:hAnsi="微软雅黑" w:eastAsia="微软雅黑"/>
                <w:b/>
                <w:color w:val="262626" w:themeColor="text1" w:themeTint="D9"/>
                <w:sz w:val="1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262626" w:themeColor="text1" w:themeTint="D9"/>
                <w:sz w:val="1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HTTP状态</w:t>
            </w:r>
          </w:p>
        </w:tc>
        <w:tc>
          <w:tcPr>
            <w:tcW w:w="2608" w:type="dxa"/>
            <w:shd w:val="clear" w:color="auto" w:fill="BEBEBE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A1A82">
            <w:pPr>
              <w:spacing w:before="0" w:after="0" w:line="252" w:lineRule="auto"/>
              <w:jc w:val="center"/>
              <w:rPr>
                <w:rFonts w:ascii="微软雅黑" w:hAnsi="微软雅黑" w:eastAsia="微软雅黑"/>
                <w:b/>
                <w:color w:val="262626" w:themeColor="text1" w:themeTint="D9"/>
                <w:sz w:val="1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262626" w:themeColor="text1" w:themeTint="D9"/>
                <w:sz w:val="1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名称</w:t>
            </w:r>
          </w:p>
        </w:tc>
        <w:tc>
          <w:tcPr>
            <w:tcW w:w="3798" w:type="dxa"/>
            <w:shd w:val="clear" w:color="auto" w:fill="BEBEBE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B55EF">
            <w:pPr>
              <w:spacing w:before="0" w:after="0" w:line="252" w:lineRule="auto"/>
              <w:jc w:val="center"/>
              <w:rPr>
                <w:rFonts w:ascii="微软雅黑" w:hAnsi="微软雅黑" w:eastAsia="微软雅黑"/>
                <w:b/>
                <w:color w:val="262626" w:themeColor="text1" w:themeTint="D9"/>
                <w:sz w:val="1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262626" w:themeColor="text1" w:themeTint="D9"/>
                <w:sz w:val="1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说明</w:t>
            </w:r>
          </w:p>
        </w:tc>
      </w:tr>
      <w:tr w14:paraId="6BE44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A5D22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75489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200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E7175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SUCCESS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55723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处理成功</w:t>
            </w:r>
          </w:p>
        </w:tc>
      </w:tr>
      <w:tr w14:paraId="206E9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8E02C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1001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72B96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400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D72E4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INVALID_REQUEST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5946D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缺少必填字段或参数格式错误</w:t>
            </w:r>
          </w:p>
        </w:tc>
      </w:tr>
      <w:tr w14:paraId="48A81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3E25D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1002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475A2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415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A8657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UNSUPPORTED_IMAGE_FORMAT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FB95D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不支持的图像格式/通道</w:t>
            </w:r>
          </w:p>
        </w:tc>
      </w:tr>
      <w:tr w14:paraId="7EBBA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A99AB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1003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AF84D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413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C048D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IMAGE_TOO_LARGE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AEC44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文件大小或分辨率超过限制</w:t>
            </w:r>
          </w:p>
        </w:tc>
      </w:tr>
      <w:tr w14:paraId="0DA66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52CEE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1004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A7BA3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422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2E5F9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INVALID_IMAGE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F3E56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图像损坏、无法解码或内容无效</w:t>
            </w:r>
          </w:p>
        </w:tc>
      </w:tr>
      <w:tr w14:paraId="28C71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E46CB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2001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EDF00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422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2A68D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INVALID_PARAMETER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E265A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算法参数越界或组合不合法</w:t>
            </w:r>
          </w:p>
        </w:tc>
      </w:tr>
      <w:tr w14:paraId="656C8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F1136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3001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16286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503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96768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MODEL_NOT_READY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D5F62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模型未加载或初始化失败</w:t>
            </w:r>
          </w:p>
        </w:tc>
      </w:tr>
      <w:tr w14:paraId="539B8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4F996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3002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46E85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500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7D279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INFERENCE_FAILED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1DFFE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模型推理执行失败</w:t>
            </w:r>
          </w:p>
        </w:tc>
      </w:tr>
      <w:tr w14:paraId="455FE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F549F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3003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4075A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504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04601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INFERENCE_TIMEOUT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D871E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推理超过服务超时</w:t>
            </w:r>
          </w:p>
        </w:tc>
      </w:tr>
      <w:tr w14:paraId="1DAD3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DC9B3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4001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66E2D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500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D8750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INTERNAL_ERROR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8E7F2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未分类内部错误</w:t>
            </w:r>
          </w:p>
        </w:tc>
      </w:tr>
    </w:tbl>
    <w:p w14:paraId="40800001"/>
    <w:p w14:paraId="5F0A95EB">
      <w:pPr>
        <w:pStyle w:val="164"/>
        <w:keepLines/>
      </w:pPr>
      <w:r>
        <w:rPr>
          <w:rFonts w:ascii="Consolas" w:hAnsi="Consolas" w:eastAsia="Consolas"/>
          <w:color w:val="1E1E1E"/>
          <w:sz w:val="17"/>
        </w:rPr>
        <w:t>{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"code": 1002,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"message": "unsupported image format: bmp",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"task_id": "TASK202608140001",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"trace_id": "TRACE-001",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 xml:space="preserve">  "result": null</w:t>
      </w:r>
      <w:r>
        <w:rPr>
          <w:rFonts w:ascii="Consolas" w:hAnsi="Consolas" w:eastAsia="Consolas"/>
          <w:color w:val="1E1E1E"/>
          <w:sz w:val="17"/>
        </w:rPr>
        <w:br w:type="textWrapping"/>
      </w:r>
      <w:r>
        <w:rPr>
          <w:rFonts w:ascii="Consolas" w:hAnsi="Consolas" w:eastAsia="Consolas"/>
          <w:color w:val="1E1E1E"/>
          <w:sz w:val="17"/>
        </w:rPr>
        <w:t>}</w:t>
      </w:r>
    </w:p>
    <w:p w14:paraId="208FC2A9">
      <w:pPr>
        <w:pStyle w:val="3"/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9. 软件环境与依赖要求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6746"/>
      </w:tblGrid>
      <w:tr w14:paraId="5F482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54" w:type="dxa"/>
            <w:shd w:val="clear" w:color="auto" w:fill="BEBEBE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D7A57">
            <w:pPr>
              <w:spacing w:before="0" w:after="0" w:line="252" w:lineRule="auto"/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262626" w:themeColor="text1" w:themeTint="D9"/>
                <w:sz w:val="1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类别</w:t>
            </w:r>
          </w:p>
        </w:tc>
        <w:tc>
          <w:tcPr>
            <w:tcW w:w="6746" w:type="dxa"/>
            <w:shd w:val="clear" w:color="auto" w:fill="BEBEBE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059FC">
            <w:pPr>
              <w:spacing w:before="0" w:after="0" w:line="252" w:lineRule="auto"/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262626" w:themeColor="text1" w:themeTint="D9"/>
                <w:sz w:val="1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开发方必须说明</w:t>
            </w:r>
          </w:p>
        </w:tc>
      </w:tr>
      <w:tr w14:paraId="2A872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B9BFE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操作系统</w:t>
            </w:r>
          </w:p>
        </w:tc>
        <w:tc>
          <w:tcPr>
            <w:tcW w:w="67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431AA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开发/验证OS名称、版本、内核或发行版；生产推荐环境</w:t>
            </w:r>
          </w:p>
        </w:tc>
      </w:tr>
      <w:tr w14:paraId="53EA8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6A425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Python</w:t>
            </w:r>
          </w:p>
        </w:tc>
        <w:tc>
          <w:tcPr>
            <w:tcW w:w="67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41DC0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精确版本；是否支持其他小版本</w:t>
            </w:r>
          </w:p>
        </w:tc>
      </w:tr>
      <w:tr w14:paraId="1B6EA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2EA0A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Python依赖</w:t>
            </w:r>
          </w:p>
        </w:tc>
        <w:tc>
          <w:tcPr>
            <w:tcW w:w="67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8C36D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requirements.txt / lock文件；包名与固定版本</w:t>
            </w:r>
          </w:p>
        </w:tc>
      </w:tr>
      <w:tr w14:paraId="26007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FEA58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系统依赖</w:t>
            </w:r>
          </w:p>
        </w:tc>
        <w:tc>
          <w:tcPr>
            <w:tcW w:w="67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97FD8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OpenCV系统库、libGL、gcc runtime、OpenMP等</w:t>
            </w:r>
          </w:p>
        </w:tc>
      </w:tr>
      <w:tr w14:paraId="06F31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ECE26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推理框架</w:t>
            </w:r>
          </w:p>
        </w:tc>
        <w:tc>
          <w:tcPr>
            <w:tcW w:w="67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28E00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PyTorch、ONNX Runtime、TensorFlow等及版本</w:t>
            </w:r>
          </w:p>
        </w:tc>
      </w:tr>
      <w:tr w14:paraId="52D30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06452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数值库</w:t>
            </w:r>
          </w:p>
        </w:tc>
        <w:tc>
          <w:tcPr>
            <w:tcW w:w="67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FC6E4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NumPy、MKL/OpenBLAS等及版本或依赖关系</w:t>
            </w:r>
          </w:p>
        </w:tc>
      </w:tr>
      <w:tr w14:paraId="19DB3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B4E57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模型文件</w:t>
            </w:r>
          </w:p>
        </w:tc>
        <w:tc>
          <w:tcPr>
            <w:tcW w:w="67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F35E5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文件名、大小、校验值（建议SHA256）、加载方式</w:t>
            </w:r>
          </w:p>
        </w:tc>
      </w:tr>
      <w:tr w14:paraId="6916B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7237F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配置文件</w:t>
            </w:r>
          </w:p>
        </w:tc>
        <w:tc>
          <w:tcPr>
            <w:tcW w:w="67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3BFE4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配置项名称、默认值、环境变量或配置文件路径</w:t>
            </w:r>
          </w:p>
        </w:tc>
      </w:tr>
      <w:tr w14:paraId="4F141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03054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启动方式</w:t>
            </w:r>
          </w:p>
        </w:tc>
        <w:tc>
          <w:tcPr>
            <w:tcW w:w="67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91CF2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一条可复现启动命令</w:t>
            </w:r>
          </w:p>
        </w:tc>
      </w:tr>
      <w:tr w14:paraId="40B04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9E429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网络依赖</w:t>
            </w:r>
          </w:p>
        </w:tc>
        <w:tc>
          <w:tcPr>
            <w:tcW w:w="67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5DD77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运行时是否访问公网、数据库、文件服务等</w:t>
            </w:r>
          </w:p>
        </w:tc>
      </w:tr>
      <w:tr w14:paraId="568D2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E357C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许可证</w:t>
            </w:r>
          </w:p>
        </w:tc>
        <w:tc>
          <w:tcPr>
            <w:tcW w:w="67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A9E5F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第三方依赖或模型使用限制（如有）</w:t>
            </w:r>
          </w:p>
        </w:tc>
      </w:tr>
    </w:tbl>
    <w:p w14:paraId="33A61220"/>
    <w:p w14:paraId="0AA54D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t>要求：开发方不得仅提交“pip freeze”而不说明关键依赖用途。对于PyTorch、ONNX Runtime、OpenCV、NumPy等关键库必须单独列示。</w:t>
      </w:r>
    </w:p>
    <w:p w14:paraId="5949E2F6">
      <w:pPr>
        <w:pStyle w:val="3"/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10. CPU硬件与资源要求</w:t>
      </w:r>
    </w:p>
    <w:p w14:paraId="535EE5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t>所有工具当前按CPU推理基线接入。开发方应提供可量化、可复现的硬件条件，禁止使用“i7以上”“高性能CPU”“16G以上即可”等无法用于部署设计的模糊描述。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134"/>
        <w:gridCol w:w="5443"/>
      </w:tblGrid>
      <w:tr w14:paraId="3998C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BEBEBE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4A9BE">
            <w:pPr>
              <w:spacing w:before="0" w:after="0" w:line="252" w:lineRule="auto"/>
              <w:jc w:val="center"/>
              <w:rPr>
                <w:rFonts w:ascii="微软雅黑" w:hAnsi="微软雅黑" w:eastAsia="微软雅黑"/>
                <w:b/>
                <w:color w:val="262626" w:themeColor="text1" w:themeTint="D9"/>
                <w:sz w:val="1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262626" w:themeColor="text1" w:themeTint="D9"/>
                <w:sz w:val="1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项目</w:t>
            </w:r>
          </w:p>
        </w:tc>
        <w:tc>
          <w:tcPr>
            <w:tcW w:w="1134" w:type="dxa"/>
            <w:shd w:val="clear" w:color="auto" w:fill="BEBEBE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5A453">
            <w:pPr>
              <w:spacing w:before="0" w:after="0" w:line="252" w:lineRule="auto"/>
              <w:jc w:val="center"/>
              <w:rPr>
                <w:rFonts w:ascii="微软雅黑" w:hAnsi="微软雅黑" w:eastAsia="微软雅黑"/>
                <w:b/>
                <w:color w:val="262626" w:themeColor="text1" w:themeTint="D9"/>
                <w:sz w:val="1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262626" w:themeColor="text1" w:themeTint="D9"/>
                <w:sz w:val="1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必须填写</w:t>
            </w:r>
          </w:p>
        </w:tc>
        <w:tc>
          <w:tcPr>
            <w:tcW w:w="5443" w:type="dxa"/>
            <w:shd w:val="clear" w:color="auto" w:fill="BEBEBE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F4BC7">
            <w:pPr>
              <w:spacing w:before="0" w:after="0" w:line="252" w:lineRule="auto"/>
              <w:jc w:val="center"/>
              <w:rPr>
                <w:rFonts w:ascii="微软雅黑" w:hAnsi="微软雅黑" w:eastAsia="微软雅黑"/>
                <w:b/>
                <w:color w:val="262626" w:themeColor="text1" w:themeTint="D9"/>
                <w:sz w:val="1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262626" w:themeColor="text1" w:themeTint="D9"/>
                <w:sz w:val="1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说明/示例</w:t>
            </w:r>
          </w:p>
        </w:tc>
      </w:tr>
      <w:tr w14:paraId="55ED8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BB35B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CPU架构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59588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18FBE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x86_64 / ARM64</w:t>
            </w:r>
          </w:p>
        </w:tc>
      </w:tr>
      <w:tr w14:paraId="29428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CF038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实际测试CPU型号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9167C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BC2DC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如 Intel Xeon Gold xxxx</w:t>
            </w:r>
          </w:p>
        </w:tc>
      </w:tr>
      <w:tr w14:paraId="4B48F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8E9B0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最低物理核心数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C8E6A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D7916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如 4 Core</w:t>
            </w:r>
          </w:p>
        </w:tc>
      </w:tr>
      <w:tr w14:paraId="71D0E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5F0DD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推荐物理核心数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72281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774B8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如 8 Core</w:t>
            </w:r>
          </w:p>
        </w:tc>
      </w:tr>
      <w:tr w14:paraId="2D54E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1DEC5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CPU指令集依赖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8806D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FB222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SSE4.2 / AVX / AVX2 / AVX512 / 无特殊要求</w:t>
            </w:r>
          </w:p>
        </w:tc>
      </w:tr>
      <w:tr w14:paraId="60C1B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5FB88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线程配置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0A284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DA748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推理线程数、OpenMP/MKL线程；是否可配置</w:t>
            </w:r>
          </w:p>
        </w:tc>
      </w:tr>
      <w:tr w14:paraId="64CDB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A8ED9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最低内存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A1399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B4104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如 8 GB</w:t>
            </w:r>
          </w:p>
        </w:tc>
      </w:tr>
      <w:tr w14:paraId="691E4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2CB67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推荐内存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97D51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527FE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如 16 GB</w:t>
            </w:r>
          </w:p>
        </w:tc>
      </w:tr>
      <w:tr w14:paraId="67D23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5EBCE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模型加载常驻内存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AC839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F0DF9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如 2.3 GB</w:t>
            </w:r>
          </w:p>
        </w:tc>
      </w:tr>
      <w:tr w14:paraId="3E37F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FC8A9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单任务峰值内存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DBF09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8FF3A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如 4.6 GB</w:t>
            </w:r>
          </w:p>
        </w:tc>
      </w:tr>
      <w:tr w14:paraId="446C6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30D61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磁盘空间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645A1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6DA76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代码+环境+模型+临时文件</w:t>
            </w:r>
          </w:p>
        </w:tc>
      </w:tr>
      <w:tr w14:paraId="2DDEE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B035A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临时空间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10BB8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47E19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单任务最大临时磁盘占用</w:t>
            </w:r>
          </w:p>
        </w:tc>
      </w:tr>
      <w:tr w14:paraId="404F1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EEC91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并发建议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E473D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是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C2FBE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单实例建议并发及限制</w:t>
            </w:r>
          </w:p>
        </w:tc>
      </w:tr>
      <w:tr w14:paraId="1C5FA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7EF09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NUMA/绑核要求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6E755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如有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42EF3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多路CPU服务器如有特殊要求需声明</w:t>
            </w:r>
          </w:p>
        </w:tc>
      </w:tr>
    </w:tbl>
    <w:p w14:paraId="3AE9923C"/>
    <w:p w14:paraId="68D79E5C">
      <w:pPr>
        <w:pStyle w:val="3"/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11. 性能测试与基准要求</w:t>
      </w:r>
    </w:p>
    <w:p w14:paraId="124DC7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t>各单位性能指标必须附带测试环境和测试图像规格，否则耗时数据不具可比性。建议牵头单位提供一组统一基准图像，同时保留各算法自身典型数据集测试。</w:t>
      </w:r>
    </w:p>
    <w:p w14:paraId="0F35D673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576"/>
      </w:tblGrid>
      <w:tr w14:paraId="03E34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BEBEBE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7B343">
            <w:pPr>
              <w:spacing w:before="0" w:after="0" w:line="252" w:lineRule="auto"/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262626" w:themeColor="text1" w:themeTint="D9"/>
                <w:sz w:val="1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测试项</w:t>
            </w:r>
          </w:p>
        </w:tc>
        <w:tc>
          <w:tcPr>
            <w:tcW w:w="6576" w:type="dxa"/>
            <w:shd w:val="clear" w:color="auto" w:fill="BEBEBE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3C1C8">
            <w:pPr>
              <w:spacing w:before="0" w:after="0" w:line="252" w:lineRule="auto"/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262626" w:themeColor="text1" w:themeTint="D9"/>
                <w:sz w:val="1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统一记录要求</w:t>
            </w:r>
          </w:p>
        </w:tc>
      </w:tr>
      <w:tr w14:paraId="47733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74D4D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测试机器</w:t>
            </w:r>
          </w:p>
        </w:tc>
        <w:tc>
          <w:tcPr>
            <w:tcW w:w="65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EBF1A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CPU完整型号、物理核/逻辑核、内存、OS、Python、推理框架版本</w:t>
            </w:r>
          </w:p>
        </w:tc>
      </w:tr>
      <w:tr w14:paraId="0DA39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25752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图像规格</w:t>
            </w:r>
          </w:p>
        </w:tc>
        <w:tc>
          <w:tcPr>
            <w:tcW w:w="65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4300A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数量、格式、分辨率分布、平均文件大小</w:t>
            </w:r>
          </w:p>
        </w:tc>
      </w:tr>
      <w:tr w14:paraId="0D192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4A248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模型预热</w:t>
            </w:r>
          </w:p>
        </w:tc>
        <w:tc>
          <w:tcPr>
            <w:tcW w:w="65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1C89B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至少记录是否预热及预热次数；建议前5次不计入正式统计</w:t>
            </w:r>
          </w:p>
        </w:tc>
      </w:tr>
      <w:tr w14:paraId="77F6A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EE607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单任务延迟</w:t>
            </w:r>
          </w:p>
        </w:tc>
        <w:tc>
          <w:tcPr>
            <w:tcW w:w="65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98F86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Avg、P50、P95、Max，单位ms或s</w:t>
            </w:r>
          </w:p>
        </w:tc>
      </w:tr>
      <w:tr w14:paraId="54B71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FE806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模型初始化</w:t>
            </w:r>
          </w:p>
        </w:tc>
        <w:tc>
          <w:tcPr>
            <w:tcW w:w="65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CFB31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服务启动到可接受推理请求的时间</w:t>
            </w:r>
          </w:p>
        </w:tc>
      </w:tr>
      <w:tr w14:paraId="43C65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4686B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内存</w:t>
            </w:r>
          </w:p>
        </w:tc>
        <w:tc>
          <w:tcPr>
            <w:tcW w:w="65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6BBF9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模型加载后常驻内存、推理峰值内存</w:t>
            </w:r>
          </w:p>
        </w:tc>
      </w:tr>
      <w:tr w14:paraId="03223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61D97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CPU利用率</w:t>
            </w:r>
          </w:p>
        </w:tc>
        <w:tc>
          <w:tcPr>
            <w:tcW w:w="65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55121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测试期间平均/峰值CPU使用情况，可选</w:t>
            </w:r>
          </w:p>
        </w:tc>
      </w:tr>
      <w:tr w14:paraId="6AED5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53217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并发</w:t>
            </w:r>
          </w:p>
        </w:tc>
        <w:tc>
          <w:tcPr>
            <w:tcW w:w="65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8B212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并发1/2/4或开发方建议值下的吞吐与延迟</w:t>
            </w:r>
          </w:p>
        </w:tc>
      </w:tr>
      <w:tr w14:paraId="53355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54753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吞吐</w:t>
            </w:r>
          </w:p>
        </w:tc>
        <w:tc>
          <w:tcPr>
            <w:tcW w:w="65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F99E1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images/s 或 tasks/min</w:t>
            </w:r>
          </w:p>
        </w:tc>
      </w:tr>
      <w:tr w14:paraId="0BFEA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9D7B5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连续稳定性</w:t>
            </w:r>
          </w:p>
        </w:tc>
        <w:tc>
          <w:tcPr>
            <w:tcW w:w="65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E6E5A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建议连续处理≥100个样本，记录失败数和异常</w:t>
            </w:r>
          </w:p>
        </w:tc>
      </w:tr>
    </w:tbl>
    <w:p w14:paraId="39501B88"/>
    <w:p w14:paraId="284C71AB">
      <w:pPr>
        <w:pStyle w:val="3"/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12. 日志与可观测性</w:t>
      </w:r>
    </w:p>
    <w:p w14:paraId="3A3761E6">
      <w:pPr>
        <w:pStyle w:val="16"/>
        <w:numPr>
          <w:ilvl w:val="0"/>
          <w:numId w:val="10"/>
        </w:numPr>
        <w:tabs>
          <w:tab w:val="clear" w:pos="420"/>
        </w:tabs>
        <w:spacing w:after="40"/>
        <w:ind w:left="840" w:leftChars="0" w:hanging="420" w:firstLineChars="0"/>
      </w:pPr>
      <w:r>
        <w:rPr>
          <w:rFonts w:ascii="微软雅黑" w:hAnsi="微软雅黑" w:eastAsia="微软雅黑"/>
          <w:sz w:val="21"/>
        </w:rPr>
        <w:t>日志至少包含：时间、日志级别、tool_name、task_id/trace_id、接口、处理耗时、结果状态和异常摘要。</w:t>
      </w:r>
    </w:p>
    <w:p w14:paraId="395A331F">
      <w:pPr>
        <w:pStyle w:val="16"/>
        <w:numPr>
          <w:ilvl w:val="0"/>
          <w:numId w:val="10"/>
        </w:numPr>
        <w:tabs>
          <w:tab w:val="clear" w:pos="420"/>
        </w:tabs>
        <w:spacing w:after="40"/>
        <w:ind w:left="840" w:leftChars="0" w:hanging="420" w:firstLineChars="0"/>
      </w:pPr>
      <w:r>
        <w:rPr>
          <w:rFonts w:ascii="微软雅黑" w:hAnsi="微软雅黑" w:eastAsia="微软雅黑"/>
          <w:sz w:val="21"/>
        </w:rPr>
        <w:t>默认日志不得记录完整原始图像内容或Base64。文件名、发动机编号等业务信息是否记录应支持配置。</w:t>
      </w:r>
    </w:p>
    <w:p w14:paraId="22371310">
      <w:pPr>
        <w:pStyle w:val="16"/>
        <w:numPr>
          <w:ilvl w:val="0"/>
          <w:numId w:val="10"/>
        </w:numPr>
        <w:tabs>
          <w:tab w:val="clear" w:pos="420"/>
        </w:tabs>
        <w:spacing w:after="40"/>
        <w:ind w:left="840" w:leftChars="0" w:hanging="420" w:firstLineChars="0"/>
      </w:pPr>
      <w:r>
        <w:rPr>
          <w:rFonts w:ascii="微软雅黑" w:hAnsi="微软雅黑" w:eastAsia="微软雅黑"/>
          <w:sz w:val="21"/>
        </w:rPr>
        <w:t>异常日志应保留可定位的错误信息，开发模式可记录堆栈；生产模式不得直接将完整堆栈返回给调用方。</w:t>
      </w:r>
    </w:p>
    <w:p w14:paraId="0457900F">
      <w:pPr>
        <w:pStyle w:val="16"/>
        <w:numPr>
          <w:ilvl w:val="0"/>
          <w:numId w:val="10"/>
        </w:numPr>
        <w:tabs>
          <w:tab w:val="clear" w:pos="420"/>
        </w:tabs>
        <w:spacing w:after="40"/>
        <w:ind w:left="840" w:leftChars="0" w:hanging="420" w:firstLineChars="0"/>
      </w:pPr>
      <w:r>
        <w:rPr>
          <w:rFonts w:ascii="微软雅黑" w:hAnsi="微软雅黑" w:eastAsia="微软雅黑"/>
          <w:sz w:val="21"/>
        </w:rPr>
        <w:t>应说明日志路径、滚动策略、单文件大小、保留周期和磁盘上限。</w:t>
      </w:r>
    </w:p>
    <w:p w14:paraId="44B61EB5">
      <w:pPr>
        <w:pStyle w:val="3"/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13. 部署与运行要求</w:t>
      </w:r>
    </w:p>
    <w:p w14:paraId="1C7D400D">
      <w:pPr>
        <w:pStyle w:val="14"/>
        <w:spacing w:after="40"/>
        <w:ind w:left="780" w:leftChars="0"/>
      </w:pPr>
      <w:r>
        <w:rPr>
          <w:rFonts w:hint="eastAsia"/>
          <w:sz w:val="21"/>
          <w:lang w:val="en-US" w:eastAsia="zh-CN"/>
        </w:rPr>
        <w:t>必须提供从干净环境开始的</w:t>
      </w:r>
      <w:r>
        <w:rPr>
          <w:rFonts w:ascii="微软雅黑" w:hAnsi="微软雅黑" w:eastAsia="微软雅黑"/>
          <w:sz w:val="21"/>
        </w:rPr>
        <w:t>部署步骤。</w:t>
      </w:r>
    </w:p>
    <w:p w14:paraId="02394A83">
      <w:pPr>
        <w:pStyle w:val="14"/>
        <w:spacing w:after="40"/>
        <w:ind w:left="780" w:leftChars="0"/>
      </w:pPr>
      <w:r>
        <w:rPr>
          <w:rFonts w:ascii="微软雅黑" w:hAnsi="微软雅黑" w:eastAsia="微软雅黑"/>
          <w:sz w:val="21"/>
        </w:rPr>
        <w:t>必须提供一条启动命令，明确监听地址、端口、工作进程/线程参数。</w:t>
      </w:r>
    </w:p>
    <w:p w14:paraId="700B3C94">
      <w:pPr>
        <w:pStyle w:val="14"/>
        <w:spacing w:after="40"/>
        <w:ind w:left="780" w:leftChars="0"/>
      </w:pPr>
      <w:r>
        <w:rPr>
          <w:rFonts w:ascii="微软雅黑" w:hAnsi="微软雅黑" w:eastAsia="微软雅黑"/>
          <w:sz w:val="21"/>
        </w:rPr>
        <w:t>模型路径、端口、日志目录、线程数等部署项应通过配置文件或环境变量控制，不得硬编码为开发机路径。</w:t>
      </w:r>
    </w:p>
    <w:p w14:paraId="1C428C24">
      <w:pPr>
        <w:pStyle w:val="14"/>
        <w:spacing w:after="40"/>
        <w:ind w:left="780" w:leftChars="0"/>
      </w:pPr>
      <w:r>
        <w:rPr>
          <w:rFonts w:ascii="微软雅黑" w:hAnsi="微软雅黑" w:eastAsia="微软雅黑"/>
          <w:sz w:val="21"/>
        </w:rPr>
        <w:t>服务启动后应先完成必要的模型加载，并通过/health暴露可用状态。</w:t>
      </w:r>
    </w:p>
    <w:p w14:paraId="0E67E788">
      <w:pPr>
        <w:pStyle w:val="14"/>
        <w:spacing w:after="40"/>
        <w:ind w:left="780" w:leftChars="0"/>
      </w:pPr>
      <w:r>
        <w:rPr>
          <w:rFonts w:ascii="微软雅黑" w:hAnsi="微软雅黑" w:eastAsia="微软雅黑"/>
          <w:sz w:val="21"/>
        </w:rPr>
        <w:t>服务退出应能正常释放文件句柄、临时文件和线程资源。</w:t>
      </w:r>
    </w:p>
    <w:p w14:paraId="2EEDFD3E">
      <w:pPr>
        <w:pStyle w:val="14"/>
        <w:spacing w:after="40"/>
        <w:ind w:left="780" w:leftChars="0"/>
      </w:pPr>
      <w:r>
        <w:rPr>
          <w:rFonts w:ascii="微软雅黑" w:hAnsi="微软雅黑" w:eastAsia="微软雅黑"/>
          <w:sz w:val="21"/>
        </w:rPr>
        <w:t>运行时原则上不得自动联网下载模型、字体、权重或其他依赖。</w:t>
      </w:r>
    </w:p>
    <w:p w14:paraId="4BABBABC">
      <w:pPr>
        <w:pStyle w:val="3"/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14. 安全与数据处理基本要求</w:t>
      </w:r>
    </w:p>
    <w:p w14:paraId="4A22B438">
      <w:pPr>
        <w:pStyle w:val="16"/>
        <w:numPr>
          <w:ilvl w:val="0"/>
          <w:numId w:val="11"/>
        </w:numPr>
        <w:tabs>
          <w:tab w:val="clear" w:pos="420"/>
        </w:tabs>
        <w:spacing w:after="40"/>
        <w:ind w:left="840" w:leftChars="0" w:hanging="420" w:firstLineChars="0"/>
      </w:pPr>
      <w:r>
        <w:rPr>
          <w:rFonts w:ascii="微软雅黑" w:hAnsi="微软雅黑" w:eastAsia="微软雅黑"/>
          <w:sz w:val="21"/>
        </w:rPr>
        <w:t>不得在代码中硬编码账号、口令、Token或私有服务地址。</w:t>
      </w:r>
    </w:p>
    <w:p w14:paraId="6269311D">
      <w:pPr>
        <w:pStyle w:val="16"/>
        <w:numPr>
          <w:ilvl w:val="0"/>
          <w:numId w:val="11"/>
        </w:numPr>
        <w:tabs>
          <w:tab w:val="clear" w:pos="420"/>
        </w:tabs>
        <w:spacing w:after="40"/>
        <w:ind w:left="840" w:leftChars="0" w:hanging="420" w:firstLineChars="0"/>
      </w:pPr>
      <w:r>
        <w:rPr>
          <w:rFonts w:ascii="微软雅黑" w:hAnsi="微软雅黑" w:eastAsia="微软雅黑"/>
          <w:sz w:val="21"/>
        </w:rPr>
        <w:t>对于本地文件访问应限制在配置的工作目录内，避免接受任意绝对路径作为推理输入。</w:t>
      </w:r>
    </w:p>
    <w:p w14:paraId="489C64F0">
      <w:pPr>
        <w:pStyle w:val="16"/>
        <w:numPr>
          <w:ilvl w:val="0"/>
          <w:numId w:val="11"/>
        </w:numPr>
        <w:tabs>
          <w:tab w:val="clear" w:pos="420"/>
        </w:tabs>
        <w:spacing w:after="40"/>
        <w:ind w:left="840" w:leftChars="0" w:hanging="420" w:firstLineChars="0"/>
      </w:pPr>
      <w:r>
        <w:rPr>
          <w:rFonts w:ascii="微软雅黑" w:hAnsi="微软雅黑" w:eastAsia="微软雅黑"/>
          <w:sz w:val="21"/>
        </w:rPr>
        <w:t>如服务需要鉴权，由牵头单位平台统一设计；算法服务应预留兼容能力。</w:t>
      </w:r>
    </w:p>
    <w:p w14:paraId="35FAAFAA">
      <w:pPr>
        <w:pStyle w:val="3"/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15. 开发方交付物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551"/>
        <w:gridCol w:w="5443"/>
      </w:tblGrid>
      <w:tr w14:paraId="33EAF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50" w:type="dxa"/>
            <w:shd w:val="clear" w:color="auto" w:fill="BEBEBE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DEF52">
            <w:pPr>
              <w:spacing w:before="0" w:after="0" w:line="252" w:lineRule="auto"/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262626" w:themeColor="text1" w:themeTint="D9"/>
                <w:sz w:val="1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序号</w:t>
            </w:r>
          </w:p>
        </w:tc>
        <w:tc>
          <w:tcPr>
            <w:tcW w:w="2551" w:type="dxa"/>
            <w:shd w:val="clear" w:color="auto" w:fill="BEBEBE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D94F9">
            <w:pPr>
              <w:spacing w:before="0" w:after="0" w:line="252" w:lineRule="auto"/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262626" w:themeColor="text1" w:themeTint="D9"/>
                <w:sz w:val="1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交付物</w:t>
            </w:r>
          </w:p>
        </w:tc>
        <w:tc>
          <w:tcPr>
            <w:tcW w:w="5443" w:type="dxa"/>
            <w:shd w:val="clear" w:color="auto" w:fill="BEBEBE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BB400">
            <w:pPr>
              <w:spacing w:before="0" w:after="0" w:line="252" w:lineRule="auto"/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262626" w:themeColor="text1" w:themeTint="D9"/>
                <w:sz w:val="1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最低要求</w:t>
            </w:r>
          </w:p>
        </w:tc>
      </w:tr>
      <w:tr w14:paraId="072A8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C4000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A83AD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算法服务代码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645BD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可完整构建、目录结构清晰，不依赖开发机隐式文件</w:t>
            </w:r>
          </w:p>
        </w:tc>
      </w:tr>
      <w:tr w14:paraId="4A762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CFD99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DF4B4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模型权重/参数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1F91C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完整文件、版本、大小、校验值</w:t>
            </w:r>
          </w:p>
        </w:tc>
      </w:tr>
      <w:tr w14:paraId="56E21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CA685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C8F2E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依赖清单</w:t>
            </w:r>
          </w:p>
        </w:tc>
        <w:tc>
          <w:tcPr>
            <w:tcW w:w="54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85E9A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requirements.txt或等价lock文件；系统依赖说明</w:t>
            </w:r>
          </w:p>
        </w:tc>
      </w:tr>
      <w:tr w14:paraId="432D9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13659">
            <w:pPr>
              <w:spacing w:before="0" w:after="0" w:line="252" w:lineRule="auto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sz w:val="19"/>
                <w:lang w:val="en-US" w:eastAsia="zh-CN"/>
              </w:rPr>
              <w:t>4</w:t>
            </w:r>
          </w:p>
        </w:tc>
        <w:tc>
          <w:tcPr>
            <w:tcW w:w="2551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BC80F">
            <w:pPr>
              <w:spacing w:before="0" w:after="0" w:line="252" w:lineRule="auto"/>
              <w:jc w:val="center"/>
              <w:rPr>
                <w:rFonts w:ascii="微软雅黑" w:hAnsi="微软雅黑" w:eastAsia="微软雅黑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b w:val="0"/>
                <w:sz w:val="19"/>
              </w:rPr>
              <w:t>README</w:t>
            </w:r>
          </w:p>
        </w:tc>
        <w:tc>
          <w:tcPr>
            <w:tcW w:w="5443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7EA38">
            <w:pPr>
              <w:spacing w:before="0" w:after="0" w:line="252" w:lineRule="auto"/>
              <w:jc w:val="center"/>
              <w:rPr>
                <w:rFonts w:ascii="微软雅黑" w:hAnsi="微软雅黑" w:eastAsia="微软雅黑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b w:val="0"/>
                <w:sz w:val="19"/>
              </w:rPr>
              <w:t>部署、配置、启动、停止、接口调用和常见故障</w:t>
            </w:r>
          </w:p>
        </w:tc>
      </w:tr>
      <w:tr w14:paraId="5B17A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3C552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w="2551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220B8">
            <w:pPr>
              <w:spacing w:before="0" w:after="0" w:line="252" w:lineRule="auto"/>
              <w:jc w:val="center"/>
              <w:rPr>
                <w:rFonts w:ascii="微软雅黑" w:hAnsi="微软雅黑" w:eastAsia="微软雅黑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b w:val="0"/>
                <w:sz w:val="19"/>
              </w:rPr>
              <w:t>测试图像</w:t>
            </w:r>
          </w:p>
        </w:tc>
        <w:tc>
          <w:tcPr>
            <w:tcW w:w="5443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28D6A">
            <w:pPr>
              <w:spacing w:before="0" w:after="0" w:line="252" w:lineRule="auto"/>
              <w:jc w:val="center"/>
              <w:rPr>
                <w:rFonts w:ascii="微软雅黑" w:hAnsi="微软雅黑" w:eastAsia="微软雅黑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b w:val="0"/>
                <w:sz w:val="19"/>
              </w:rPr>
              <w:t>合法、异常、边界输入样例</w:t>
            </w:r>
          </w:p>
        </w:tc>
      </w:tr>
      <w:tr w14:paraId="581DC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DDFBB">
            <w:pPr>
              <w:spacing w:before="0" w:after="0" w:line="252" w:lineRule="auto"/>
              <w:jc w:val="center"/>
              <w:rPr>
                <w:rFonts w:hint="default" w:ascii="微软雅黑" w:hAnsi="微软雅黑" w:eastAsia="微软雅黑"/>
                <w:b w:val="0"/>
                <w:sz w:val="19"/>
                <w:lang w:val="en-US" w:eastAsia="zh-CN"/>
              </w:rPr>
            </w:pPr>
            <w:r>
              <w:rPr>
                <w:rFonts w:hint="eastAsia"/>
                <w:b w:val="0"/>
                <w:sz w:val="19"/>
                <w:lang w:val="en-US" w:eastAsia="zh-CN"/>
              </w:rPr>
              <w:t>6</w:t>
            </w:r>
          </w:p>
        </w:tc>
        <w:tc>
          <w:tcPr>
            <w:tcW w:w="2551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89303">
            <w:pPr>
              <w:spacing w:before="0" w:after="0" w:line="252" w:lineRule="auto"/>
              <w:jc w:val="center"/>
              <w:rPr>
                <w:rFonts w:ascii="微软雅黑" w:hAnsi="微软雅黑" w:eastAsia="微软雅黑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b w:val="0"/>
                <w:sz w:val="19"/>
              </w:rPr>
              <w:t>期望输出</w:t>
            </w:r>
          </w:p>
        </w:tc>
        <w:tc>
          <w:tcPr>
            <w:tcW w:w="5443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5F690">
            <w:pPr>
              <w:spacing w:before="0" w:after="0" w:line="252" w:lineRule="auto"/>
              <w:jc w:val="center"/>
              <w:rPr>
                <w:rFonts w:ascii="微软雅黑" w:hAnsi="微软雅黑" w:eastAsia="微软雅黑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b w:val="0"/>
                <w:sz w:val="19"/>
              </w:rPr>
              <w:t>与测试图像一一对应的标准JSON</w:t>
            </w:r>
          </w:p>
        </w:tc>
      </w:tr>
      <w:tr w14:paraId="7BDA5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CD1D3">
            <w:pPr>
              <w:spacing w:before="0" w:after="0" w:line="252" w:lineRule="auto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2551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C5D79">
            <w:pPr>
              <w:spacing w:before="0" w:after="0" w:line="252" w:lineRule="auto"/>
              <w:jc w:val="center"/>
              <w:rPr>
                <w:rFonts w:ascii="微软雅黑" w:hAnsi="微软雅黑" w:eastAsia="微软雅黑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b w:val="0"/>
                <w:sz w:val="19"/>
              </w:rPr>
              <w:t>性能测试结果</w:t>
            </w:r>
          </w:p>
        </w:tc>
        <w:tc>
          <w:tcPr>
            <w:tcW w:w="5443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DF2B7">
            <w:pPr>
              <w:spacing w:before="0" w:after="0" w:line="252" w:lineRule="auto"/>
              <w:jc w:val="center"/>
              <w:rPr>
                <w:rFonts w:ascii="微软雅黑" w:hAnsi="微软雅黑" w:eastAsia="微软雅黑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b w:val="0"/>
                <w:sz w:val="19"/>
              </w:rPr>
              <w:t>按本规范及Excel模板填写</w:t>
            </w:r>
          </w:p>
        </w:tc>
      </w:tr>
      <w:tr w14:paraId="2546D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68DC6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w="2551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E0489">
            <w:pPr>
              <w:spacing w:before="0" w:after="0" w:line="252" w:lineRule="auto"/>
              <w:jc w:val="center"/>
              <w:rPr>
                <w:rFonts w:ascii="微软雅黑" w:hAnsi="微软雅黑" w:eastAsia="微软雅黑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b w:val="0"/>
                <w:sz w:val="19"/>
              </w:rPr>
              <w:t>第三方软件说明</w:t>
            </w:r>
          </w:p>
        </w:tc>
        <w:tc>
          <w:tcPr>
            <w:tcW w:w="5443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925B6">
            <w:pPr>
              <w:spacing w:before="0" w:after="0" w:line="252" w:lineRule="auto"/>
              <w:jc w:val="center"/>
              <w:rPr>
                <w:rFonts w:ascii="微软雅黑" w:hAnsi="微软雅黑" w:eastAsia="微软雅黑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b w:val="0"/>
                <w:sz w:val="19"/>
              </w:rPr>
              <w:t>关键依赖、许可证或使用限制</w:t>
            </w:r>
          </w:p>
        </w:tc>
      </w:tr>
      <w:tr w14:paraId="0AF47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5D8C4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w="2551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11CC0">
            <w:pPr>
              <w:spacing w:before="0" w:after="0" w:line="252" w:lineRule="auto"/>
              <w:jc w:val="center"/>
              <w:rPr>
                <w:rFonts w:ascii="微软雅黑" w:hAnsi="微软雅黑" w:eastAsia="微软雅黑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b w:val="0"/>
                <w:sz w:val="19"/>
              </w:rPr>
              <w:t>技术信息填报表</w:t>
            </w:r>
          </w:p>
        </w:tc>
        <w:tc>
          <w:tcPr>
            <w:tcW w:w="5443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319F8">
            <w:pPr>
              <w:spacing w:before="0" w:after="0" w:line="252" w:lineRule="auto"/>
              <w:jc w:val="center"/>
              <w:rPr>
                <w:rFonts w:ascii="微软雅黑" w:hAnsi="微软雅黑" w:eastAsia="微软雅黑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b w:val="0"/>
                <w:sz w:val="19"/>
              </w:rPr>
              <w:t>配套Excel完整填写并由开发方确认</w:t>
            </w:r>
          </w:p>
        </w:tc>
      </w:tr>
    </w:tbl>
    <w:p w14:paraId="314DC6D4"/>
    <w:p w14:paraId="7C984070">
      <w:pPr>
        <w:pStyle w:val="3"/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16. 验收要求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438"/>
        <w:gridCol w:w="4706"/>
      </w:tblGrid>
      <w:tr w14:paraId="3FC81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BEBEBE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94897">
            <w:pPr>
              <w:spacing w:before="0" w:after="0" w:line="252" w:lineRule="auto"/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262626" w:themeColor="text1" w:themeTint="D9"/>
                <w:sz w:val="1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验收类别</w:t>
            </w:r>
          </w:p>
        </w:tc>
        <w:tc>
          <w:tcPr>
            <w:tcW w:w="2438" w:type="dxa"/>
            <w:shd w:val="clear" w:color="auto" w:fill="BEBEBE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6DADE">
            <w:pPr>
              <w:spacing w:before="0" w:after="0" w:line="252" w:lineRule="auto"/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262626" w:themeColor="text1" w:themeTint="D9"/>
                <w:sz w:val="1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验收点</w:t>
            </w:r>
          </w:p>
        </w:tc>
        <w:tc>
          <w:tcPr>
            <w:tcW w:w="4706" w:type="dxa"/>
            <w:shd w:val="clear" w:color="auto" w:fill="BEBEBE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2883C">
            <w:pPr>
              <w:spacing w:before="0" w:after="0" w:line="252" w:lineRule="auto"/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262626" w:themeColor="text1" w:themeTint="D9"/>
                <w:sz w:val="1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判定要求</w:t>
            </w:r>
          </w:p>
        </w:tc>
      </w:tr>
      <w:tr w14:paraId="14652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AA6D6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启动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897C9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干净环境可部署</w:t>
            </w:r>
          </w:p>
        </w:tc>
        <w:tc>
          <w:tcPr>
            <w:tcW w:w="4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367E4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按文档可完成安装/镜像启动，不依赖开发者手工补文件</w:t>
            </w:r>
          </w:p>
        </w:tc>
      </w:tr>
      <w:tr w14:paraId="7BB1B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EA4F1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健康检查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EFD47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/health</w:t>
            </w:r>
          </w:p>
        </w:tc>
        <w:tc>
          <w:tcPr>
            <w:tcW w:w="4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84034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服务可用时返回200及标准JSON</w:t>
            </w:r>
          </w:p>
        </w:tc>
      </w:tr>
      <w:tr w14:paraId="328B4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A0538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接口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C4037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推理调用</w:t>
            </w:r>
          </w:p>
        </w:tc>
        <w:tc>
          <w:tcPr>
            <w:tcW w:w="4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3FC11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标准样例请求可成功，字段符合填报说明</w:t>
            </w:r>
          </w:p>
        </w:tc>
      </w:tr>
      <w:tr w14:paraId="19DBF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0711C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输入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5A593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格式边界</w:t>
            </w:r>
          </w:p>
        </w:tc>
        <w:tc>
          <w:tcPr>
            <w:tcW w:w="4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F181C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合法输入成功；不合法输入返回明确错误码</w:t>
            </w:r>
          </w:p>
        </w:tc>
      </w:tr>
      <w:tr w14:paraId="5E7AA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949E7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输出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AD1E1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结构化结果</w:t>
            </w:r>
          </w:p>
        </w:tc>
        <w:tc>
          <w:tcPr>
            <w:tcW w:w="4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99CBC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关键检测结果不能只藏在自然语言报告中</w:t>
            </w:r>
          </w:p>
        </w:tc>
      </w:tr>
      <w:tr w14:paraId="65EDC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7DDE6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版本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AD97B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可追溯</w:t>
            </w:r>
          </w:p>
        </w:tc>
        <w:tc>
          <w:tcPr>
            <w:tcW w:w="4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7818B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返回tool/model/api版本</w:t>
            </w:r>
          </w:p>
        </w:tc>
      </w:tr>
      <w:tr w14:paraId="465F4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4324E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CPU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40C0A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无隐式GPU依赖</w:t>
            </w:r>
          </w:p>
        </w:tc>
        <w:tc>
          <w:tcPr>
            <w:tcW w:w="4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16A02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无CUDA/GPU才能启动或推理的隐藏依赖</w:t>
            </w:r>
          </w:p>
        </w:tc>
      </w:tr>
      <w:tr w14:paraId="1BE9F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3F8D2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资源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BD9C8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内存/CPU</w:t>
            </w:r>
          </w:p>
        </w:tc>
        <w:tc>
          <w:tcPr>
            <w:tcW w:w="4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AD0AD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不超过申报峰值的合理误差范围</w:t>
            </w:r>
          </w:p>
        </w:tc>
      </w:tr>
      <w:tr w14:paraId="5DA4D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F8811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性能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8E2AA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基准测试</w:t>
            </w:r>
          </w:p>
        </w:tc>
        <w:tc>
          <w:tcPr>
            <w:tcW w:w="4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A27B1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达到开发方申报值或项目约定阈值</w:t>
            </w:r>
          </w:p>
        </w:tc>
      </w:tr>
      <w:tr w14:paraId="25B7C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30FF9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并发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E67A9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稳定性</w:t>
            </w:r>
          </w:p>
        </w:tc>
        <w:tc>
          <w:tcPr>
            <w:tcW w:w="4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238AF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在申报并发下无明显崩溃、串结果或资源泄漏</w:t>
            </w:r>
          </w:p>
        </w:tc>
      </w:tr>
      <w:tr w14:paraId="13E4B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9332C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异常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6856A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错误处理</w:t>
            </w:r>
          </w:p>
        </w:tc>
        <w:tc>
          <w:tcPr>
            <w:tcW w:w="4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82AF6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服务不因单个错误图像整体退出</w:t>
            </w:r>
          </w:p>
        </w:tc>
      </w:tr>
      <w:tr w14:paraId="39D35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1B1CA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日志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9938D8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可追踪</w:t>
            </w:r>
          </w:p>
        </w:tc>
        <w:tc>
          <w:tcPr>
            <w:tcW w:w="4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A820A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可通过task_id/trace_id定位请求</w:t>
            </w:r>
          </w:p>
        </w:tc>
      </w:tr>
      <w:tr w14:paraId="0211A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5D982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连续运行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253F9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稳定性</w:t>
            </w:r>
          </w:p>
        </w:tc>
        <w:tc>
          <w:tcPr>
            <w:tcW w:w="4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ED902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批量连续任务无异常退出；失败可追踪</w:t>
            </w:r>
          </w:p>
        </w:tc>
      </w:tr>
      <w:tr w14:paraId="40261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D8FC2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交付</w:t>
            </w:r>
          </w:p>
        </w:tc>
        <w:tc>
          <w:tcPr>
            <w:tcW w:w="24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AAF8A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材料完整</w:t>
            </w:r>
          </w:p>
        </w:tc>
        <w:tc>
          <w:tcPr>
            <w:tcW w:w="47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9605D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第15章交付物齐全</w:t>
            </w:r>
          </w:p>
        </w:tc>
      </w:tr>
    </w:tbl>
    <w:p w14:paraId="3FB46B33"/>
    <w:p w14:paraId="140FEE8D">
      <w:pPr>
        <w:pStyle w:val="3"/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17. 版本与变更管理</w:t>
      </w:r>
    </w:p>
    <w:p w14:paraId="4CBE8C8C">
      <w:pPr>
        <w:pStyle w:val="16"/>
        <w:numPr>
          <w:ilvl w:val="0"/>
          <w:numId w:val="11"/>
        </w:numPr>
        <w:tabs>
          <w:tab w:val="clear" w:pos="420"/>
        </w:tabs>
        <w:bidi w:val="0"/>
        <w:ind w:left="840" w:leftChars="0" w:hanging="420" w:firstLineChars="0"/>
      </w:pPr>
      <w:r>
        <w:t>接口路径中的v1表示接口大版本。破坏兼容性的字段删除、语义修改或输入方式变化应升级大版本。</w:t>
      </w:r>
    </w:p>
    <w:p w14:paraId="0341A26C">
      <w:pPr>
        <w:pStyle w:val="16"/>
        <w:numPr>
          <w:ilvl w:val="0"/>
          <w:numId w:val="11"/>
        </w:numPr>
        <w:tabs>
          <w:tab w:val="clear" w:pos="420"/>
        </w:tabs>
        <w:bidi w:val="0"/>
        <w:ind w:left="840" w:leftChars="0" w:hanging="420" w:firstLineChars="0"/>
      </w:pPr>
      <w:r>
        <w:t>模型权重变化应修改model_version，即使API不变。</w:t>
      </w:r>
    </w:p>
    <w:p w14:paraId="01B70168">
      <w:pPr>
        <w:pStyle w:val="16"/>
        <w:numPr>
          <w:ilvl w:val="0"/>
          <w:numId w:val="11"/>
        </w:numPr>
        <w:tabs>
          <w:tab w:val="clear" w:pos="420"/>
        </w:tabs>
        <w:bidi w:val="0"/>
        <w:ind w:left="840" w:leftChars="0" w:hanging="420" w:firstLineChars="0"/>
      </w:pPr>
      <w:r>
        <w:t>服务代码修复应修改tool_version。</w:t>
      </w:r>
    </w:p>
    <w:p w14:paraId="1A95C724">
      <w:pPr>
        <w:pStyle w:val="16"/>
        <w:numPr>
          <w:ilvl w:val="0"/>
          <w:numId w:val="11"/>
        </w:numPr>
        <w:tabs>
          <w:tab w:val="clear" w:pos="420"/>
        </w:tabs>
        <w:bidi w:val="0"/>
        <w:ind w:left="840" w:leftChars="0" w:hanging="420" w:firstLineChars="0"/>
      </w:pPr>
      <w:r>
        <w:t>任何已上线字段原则上不得静默改变单位、坐标系、枚举值或置信度含义。</w:t>
      </w:r>
    </w:p>
    <w:p w14:paraId="743CBD3B">
      <w:pPr>
        <w:pStyle w:val="16"/>
        <w:numPr>
          <w:ilvl w:val="0"/>
          <w:numId w:val="11"/>
        </w:numPr>
        <w:tabs>
          <w:tab w:val="clear" w:pos="420"/>
        </w:tabs>
        <w:bidi w:val="0"/>
        <w:ind w:left="840" w:leftChars="0" w:hanging="420" w:firstLineChars="0"/>
      </w:pPr>
      <w:r>
        <w:t>开发方提交新版本时需提供变更说明、回归样例及对历史调用兼容性的说明。</w:t>
      </w:r>
    </w:p>
    <w:p w14:paraId="111879BB">
      <w:pPr>
        <w:pStyle w:val="3"/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附录A：推荐命名约定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02"/>
        <w:gridCol w:w="3742"/>
      </w:tblGrid>
      <w:tr w14:paraId="3209F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BEBEBE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5041D">
            <w:pPr>
              <w:spacing w:before="0" w:after="0" w:line="252" w:lineRule="auto"/>
              <w:jc w:val="center"/>
              <w:rPr>
                <w:rFonts w:ascii="微软雅黑" w:hAnsi="微软雅黑" w:eastAsia="微软雅黑"/>
                <w:b/>
                <w:color w:val="262626" w:themeColor="text1" w:themeTint="D9"/>
                <w:sz w:val="1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262626" w:themeColor="text1" w:themeTint="D9"/>
                <w:sz w:val="1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对象</w:t>
            </w:r>
          </w:p>
        </w:tc>
        <w:tc>
          <w:tcPr>
            <w:tcW w:w="3402" w:type="dxa"/>
            <w:shd w:val="clear" w:color="auto" w:fill="BEBEBE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66C6D">
            <w:pPr>
              <w:spacing w:before="0" w:after="0" w:line="252" w:lineRule="auto"/>
              <w:jc w:val="center"/>
              <w:rPr>
                <w:rFonts w:ascii="微软雅黑" w:hAnsi="微软雅黑" w:eastAsia="微软雅黑"/>
                <w:b/>
                <w:color w:val="262626" w:themeColor="text1" w:themeTint="D9"/>
                <w:sz w:val="1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262626" w:themeColor="text1" w:themeTint="D9"/>
                <w:sz w:val="1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约定</w:t>
            </w:r>
          </w:p>
        </w:tc>
        <w:tc>
          <w:tcPr>
            <w:tcW w:w="3742" w:type="dxa"/>
            <w:shd w:val="clear" w:color="auto" w:fill="BEBEBE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8853E">
            <w:pPr>
              <w:spacing w:before="0" w:after="0" w:line="252" w:lineRule="auto"/>
              <w:jc w:val="center"/>
              <w:rPr>
                <w:rFonts w:ascii="微软雅黑" w:hAnsi="微软雅黑" w:eastAsia="微软雅黑"/>
                <w:b/>
                <w:color w:val="262626" w:themeColor="text1" w:themeTint="D9"/>
                <w:sz w:val="1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262626" w:themeColor="text1" w:themeTint="D9"/>
                <w:sz w:val="1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示例</w:t>
            </w:r>
          </w:p>
        </w:tc>
      </w:tr>
      <w:tr w14:paraId="04BDC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EF393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tool_name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5D2FC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小写英文+下划线，长期稳定</w:t>
            </w:r>
          </w:p>
        </w:tc>
        <w:tc>
          <w:tcPr>
            <w:tcW w:w="37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0C517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defect_detection</w:t>
            </w:r>
          </w:p>
        </w:tc>
      </w:tr>
      <w:tr w14:paraId="1409F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C47D1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版本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0F1EF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语义化版本优先</w:t>
            </w:r>
          </w:p>
        </w:tc>
        <w:tc>
          <w:tcPr>
            <w:tcW w:w="37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3C361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1.2.0</w:t>
            </w:r>
          </w:p>
        </w:tc>
      </w:tr>
      <w:tr w14:paraId="119D2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4D2F8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缺陷编码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65753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小写英文稳定编码</w:t>
            </w:r>
          </w:p>
        </w:tc>
        <w:tc>
          <w:tcPr>
            <w:tcW w:w="37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5B20B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crack / burn / corrosion</w:t>
            </w:r>
          </w:p>
        </w:tc>
      </w:tr>
      <w:tr w14:paraId="186F5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9302E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JSON字段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5BAAF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snake_case</w:t>
            </w:r>
          </w:p>
        </w:tc>
        <w:tc>
          <w:tcPr>
            <w:tcW w:w="37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8D028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processing_time_ms</w:t>
            </w:r>
          </w:p>
        </w:tc>
      </w:tr>
      <w:tr w14:paraId="72FC7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1CEA3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时间单位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D9CD9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字段名中体现</w:t>
            </w:r>
          </w:p>
        </w:tc>
        <w:tc>
          <w:tcPr>
            <w:tcW w:w="37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5E3BB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*_ms / *_s</w:t>
            </w:r>
          </w:p>
        </w:tc>
      </w:tr>
      <w:tr w14:paraId="4AC39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A4AEF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像素坐标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D610A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默认原图左上角为(0,0)</w:t>
            </w:r>
          </w:p>
        </w:tc>
        <w:tc>
          <w:tcPr>
            <w:tcW w:w="37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1D9BE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bbox=[x1,y1,x2,y2]</w:t>
            </w:r>
          </w:p>
        </w:tc>
      </w:tr>
      <w:tr w14:paraId="4C840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511DC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置信度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3F411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0~1</w:t>
            </w:r>
          </w:p>
        </w:tc>
        <w:tc>
          <w:tcPr>
            <w:tcW w:w="37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90CC6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0.932</w:t>
            </w:r>
          </w:p>
        </w:tc>
      </w:tr>
      <w:tr w14:paraId="59F06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6A405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空值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9CF86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不支持时使用null并说明</w:t>
            </w:r>
          </w:p>
        </w:tc>
        <w:tc>
          <w:tcPr>
            <w:tcW w:w="374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46DF6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severity: null</w:t>
            </w:r>
          </w:p>
        </w:tc>
      </w:tr>
    </w:tbl>
    <w:p w14:paraId="31F2CC38"/>
    <w:p w14:paraId="45F3958B">
      <w:pPr>
        <w:pStyle w:val="3"/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附录B：单工具专业报告最小建议字段</w:t>
      </w:r>
    </w:p>
    <w:p w14:paraId="6B6239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t>若工具需要自行输出专业报告，建议至少具备以下可追溯信息；最终项目级综合报告仍建议由上层AI智能体统一生成。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576"/>
      </w:tblGrid>
      <w:tr w14:paraId="68BC3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BEBEBE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D213B">
            <w:pPr>
              <w:spacing w:before="0" w:after="0" w:line="252" w:lineRule="auto"/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262626" w:themeColor="text1" w:themeTint="D9"/>
                <w:sz w:val="1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类别</w:t>
            </w:r>
          </w:p>
        </w:tc>
        <w:tc>
          <w:tcPr>
            <w:tcW w:w="6576" w:type="dxa"/>
            <w:shd w:val="clear" w:color="auto" w:fill="BEBEBE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A53EB">
            <w:pPr>
              <w:spacing w:before="0" w:after="0" w:line="252" w:lineRule="auto"/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b/>
                <w:color w:val="262626" w:themeColor="text1" w:themeTint="D9"/>
                <w:sz w:val="1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建议字段</w:t>
            </w:r>
          </w:p>
        </w:tc>
      </w:tr>
      <w:tr w14:paraId="29ED9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052F9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任务信息</w:t>
            </w:r>
          </w:p>
        </w:tc>
        <w:tc>
          <w:tcPr>
            <w:tcW w:w="65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1E599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task_id、检测时间、输入图像名/编号</w:t>
            </w:r>
          </w:p>
        </w:tc>
      </w:tr>
      <w:tr w14:paraId="6BE16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DA80F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工具信息</w:t>
            </w:r>
          </w:p>
        </w:tc>
        <w:tc>
          <w:tcPr>
            <w:tcW w:w="65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B6660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tool_name、tool_version、model_version</w:t>
            </w:r>
          </w:p>
        </w:tc>
      </w:tr>
      <w:tr w14:paraId="4C50F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A7207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对象信息</w:t>
            </w:r>
          </w:p>
        </w:tc>
        <w:tc>
          <w:tcPr>
            <w:tcW w:w="65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97A91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发动机编号、部件编号、检测部位（如调用方提供）</w:t>
            </w:r>
          </w:p>
        </w:tc>
      </w:tr>
      <w:tr w14:paraId="01937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0B76B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检测结论</w:t>
            </w:r>
          </w:p>
        </w:tc>
        <w:tc>
          <w:tcPr>
            <w:tcW w:w="65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58B75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正常/异常/无法判定、摘要</w:t>
            </w:r>
          </w:p>
        </w:tc>
      </w:tr>
      <w:tr w14:paraId="77E4E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FCE13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缺陷明细</w:t>
            </w:r>
          </w:p>
        </w:tc>
        <w:tc>
          <w:tcPr>
            <w:tcW w:w="65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DF364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类型、置信度/分数、位置、数量、描述、严重度（如支持）</w:t>
            </w:r>
          </w:p>
        </w:tc>
      </w:tr>
      <w:tr w14:paraId="66B10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2BAEF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图像证据</w:t>
            </w:r>
          </w:p>
        </w:tc>
        <w:tc>
          <w:tcPr>
            <w:tcW w:w="65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E1012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原图引用、标注图引用、局部裁剪图（如适用）</w:t>
            </w:r>
          </w:p>
        </w:tc>
      </w:tr>
      <w:tr w14:paraId="1986B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1B774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性能</w:t>
            </w:r>
          </w:p>
        </w:tc>
        <w:tc>
          <w:tcPr>
            <w:tcW w:w="65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C67A9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处理耗时</w:t>
            </w:r>
          </w:p>
        </w:tc>
      </w:tr>
      <w:tr w14:paraId="1297E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99C3F"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异常/限制</w:t>
            </w:r>
          </w:p>
        </w:tc>
        <w:tc>
          <w:tcPr>
            <w:tcW w:w="65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04639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图像质量问题、模型不适用条件或不确定项</w:t>
            </w:r>
          </w:p>
        </w:tc>
      </w:tr>
    </w:tbl>
    <w:p w14:paraId="0D463C5C"/>
    <w:p w14:paraId="24B1DC1A">
      <w:pPr>
        <w:pStyle w:val="3"/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附录C：开发单位提交前自检清单</w:t>
      </w:r>
    </w:p>
    <w:p w14:paraId="32DB248F">
      <w:pPr>
        <w:pStyle w:val="16"/>
        <w:numPr>
          <w:ilvl w:val="0"/>
          <w:numId w:val="11"/>
        </w:numPr>
        <w:tabs>
          <w:tab w:val="clear" w:pos="420"/>
          <w:tab w:val="clear" w:pos="360"/>
        </w:tabs>
        <w:spacing w:after="40"/>
        <w:ind w:left="840" w:leftChars="0" w:hanging="420" w:firstLineChars="0"/>
      </w:pPr>
      <w:r>
        <w:rPr>
          <w:rFonts w:ascii="微软雅黑" w:hAnsi="微软雅黑" w:eastAsia="微软雅黑"/>
          <w:sz w:val="21"/>
        </w:rPr>
        <w:t>已完整填写配套Excel中的所有适用工作表；不适用项已明确填写“不适用”并说明原因。</w:t>
      </w:r>
    </w:p>
    <w:p w14:paraId="7FD467B3">
      <w:pPr>
        <w:pStyle w:val="16"/>
        <w:numPr>
          <w:ilvl w:val="0"/>
          <w:numId w:val="11"/>
        </w:numPr>
        <w:tabs>
          <w:tab w:val="clear" w:pos="420"/>
          <w:tab w:val="clear" w:pos="360"/>
        </w:tabs>
        <w:spacing w:after="40"/>
        <w:ind w:left="840" w:leftChars="0" w:hanging="420" w:firstLineChars="0"/>
      </w:pPr>
      <w:r>
        <w:rPr>
          <w:rFonts w:ascii="微软雅黑" w:hAnsi="微软雅黑" w:eastAsia="微软雅黑"/>
          <w:sz w:val="21"/>
        </w:rPr>
        <w:t>在一台未安装本项目环境的干净CPU机器/容器中按照README完成部署验证。</w:t>
      </w:r>
    </w:p>
    <w:p w14:paraId="611F0D32">
      <w:pPr>
        <w:pStyle w:val="16"/>
        <w:numPr>
          <w:ilvl w:val="0"/>
          <w:numId w:val="11"/>
        </w:numPr>
        <w:tabs>
          <w:tab w:val="clear" w:pos="420"/>
          <w:tab w:val="clear" w:pos="360"/>
        </w:tabs>
        <w:spacing w:after="40"/>
        <w:ind w:left="840" w:leftChars="0" w:hanging="420" w:firstLineChars="0"/>
      </w:pPr>
      <w:r>
        <w:rPr>
          <w:rFonts w:ascii="微软雅黑" w:hAnsi="微软雅黑" w:eastAsia="微软雅黑"/>
          <w:sz w:val="21"/>
        </w:rPr>
        <w:t>服务在无GPU、无CUDA的情况下可以启动并完成推理。</w:t>
      </w:r>
    </w:p>
    <w:p w14:paraId="1B41482F">
      <w:pPr>
        <w:pStyle w:val="16"/>
        <w:numPr>
          <w:ilvl w:val="0"/>
          <w:numId w:val="11"/>
        </w:numPr>
        <w:tabs>
          <w:tab w:val="clear" w:pos="420"/>
          <w:tab w:val="clear" w:pos="360"/>
        </w:tabs>
        <w:spacing w:after="40"/>
        <w:ind w:left="840" w:leftChars="0" w:hanging="420" w:firstLineChars="0"/>
      </w:pPr>
      <w:r>
        <w:rPr>
          <w:rFonts w:ascii="微软雅黑" w:hAnsi="微软雅黑" w:eastAsia="微软雅黑"/>
          <w:sz w:val="21"/>
        </w:rPr>
        <w:t>所有关键Python依赖均已固定版本，模型权重文件完整且可校验。</w:t>
      </w:r>
    </w:p>
    <w:p w14:paraId="27843C48">
      <w:pPr>
        <w:pStyle w:val="16"/>
        <w:numPr>
          <w:ilvl w:val="0"/>
          <w:numId w:val="11"/>
        </w:numPr>
        <w:tabs>
          <w:tab w:val="clear" w:pos="420"/>
          <w:tab w:val="clear" w:pos="360"/>
        </w:tabs>
        <w:spacing w:after="40"/>
        <w:ind w:left="840" w:leftChars="0" w:hanging="420" w:firstLineChars="0"/>
      </w:pPr>
      <w:r>
        <w:rPr>
          <w:rFonts w:ascii="微软雅黑" w:hAnsi="微软雅黑" w:eastAsia="微软雅黑"/>
          <w:sz w:val="21"/>
        </w:rPr>
        <w:t>/health与/api/v1/inference可访问并与文档一致。</w:t>
      </w:r>
    </w:p>
    <w:p w14:paraId="06797B9B">
      <w:pPr>
        <w:pStyle w:val="16"/>
        <w:numPr>
          <w:ilvl w:val="0"/>
          <w:numId w:val="11"/>
        </w:numPr>
        <w:tabs>
          <w:tab w:val="clear" w:pos="420"/>
          <w:tab w:val="clear" w:pos="360"/>
        </w:tabs>
        <w:spacing w:after="40"/>
        <w:ind w:left="840" w:leftChars="0" w:hanging="420" w:firstLineChars="0"/>
      </w:pPr>
      <w:r>
        <w:rPr>
          <w:rFonts w:ascii="微软雅黑" w:hAnsi="微软雅黑" w:eastAsia="微软雅黑"/>
          <w:sz w:val="21"/>
        </w:rPr>
        <w:t>至少提供1个正常样例、1个异常输入样例和1个边界样例。</w:t>
      </w:r>
    </w:p>
    <w:p w14:paraId="2A424A53">
      <w:pPr>
        <w:pStyle w:val="16"/>
        <w:numPr>
          <w:ilvl w:val="0"/>
          <w:numId w:val="11"/>
        </w:numPr>
        <w:tabs>
          <w:tab w:val="clear" w:pos="420"/>
          <w:tab w:val="clear" w:pos="360"/>
        </w:tabs>
        <w:spacing w:after="40"/>
        <w:ind w:left="840" w:leftChars="0" w:hanging="420" w:firstLineChars="0"/>
      </w:pPr>
      <w:r>
        <w:rPr>
          <w:rFonts w:ascii="微软雅黑" w:hAnsi="微软雅黑" w:eastAsia="微软雅黑"/>
          <w:sz w:val="21"/>
        </w:rPr>
        <w:t>成功与失败响应均为JSON，不返回框架默认HTML错误页。</w:t>
      </w:r>
    </w:p>
    <w:p w14:paraId="55DA19AE">
      <w:pPr>
        <w:pStyle w:val="16"/>
        <w:numPr>
          <w:ilvl w:val="0"/>
          <w:numId w:val="11"/>
        </w:numPr>
        <w:tabs>
          <w:tab w:val="clear" w:pos="420"/>
          <w:tab w:val="clear" w:pos="360"/>
        </w:tabs>
        <w:spacing w:after="40"/>
        <w:ind w:left="840" w:leftChars="0" w:hanging="420" w:firstLineChars="0"/>
      </w:pPr>
      <w:r>
        <w:rPr>
          <w:rFonts w:ascii="微软雅黑" w:hAnsi="微软雅黑" w:eastAsia="微软雅黑"/>
          <w:sz w:val="21"/>
        </w:rPr>
        <w:t>结构化输出字段、单位、枚举值、坐标系和置信度含义均已说明。</w:t>
      </w:r>
    </w:p>
    <w:p w14:paraId="584E11D4">
      <w:pPr>
        <w:pStyle w:val="16"/>
        <w:numPr>
          <w:ilvl w:val="0"/>
          <w:numId w:val="11"/>
        </w:numPr>
        <w:tabs>
          <w:tab w:val="clear" w:pos="420"/>
          <w:tab w:val="clear" w:pos="360"/>
        </w:tabs>
        <w:spacing w:after="40"/>
        <w:ind w:left="840" w:leftChars="0" w:hanging="420" w:firstLineChars="0"/>
      </w:pPr>
      <w:r>
        <w:rPr>
          <w:rFonts w:ascii="微软雅黑" w:hAnsi="微软雅黑" w:eastAsia="微软雅黑"/>
          <w:sz w:val="21"/>
        </w:rPr>
        <w:t>已完成性能测试并记录CPU型号、图像规格、Avg/P95/Max和内存峰值。</w:t>
      </w:r>
    </w:p>
    <w:p w14:paraId="2D7B8687">
      <w:pPr>
        <w:pStyle w:val="16"/>
        <w:numPr>
          <w:ilvl w:val="0"/>
          <w:numId w:val="11"/>
        </w:numPr>
        <w:tabs>
          <w:tab w:val="clear" w:pos="420"/>
          <w:tab w:val="clear" w:pos="360"/>
        </w:tabs>
        <w:spacing w:after="40"/>
        <w:ind w:left="840" w:leftChars="0" w:hanging="420" w:firstLineChars="0"/>
      </w:pPr>
      <w:r>
        <w:rPr>
          <w:rFonts w:ascii="微软雅黑" w:hAnsi="微软雅黑" w:eastAsia="微软雅黑"/>
          <w:sz w:val="21"/>
        </w:rPr>
        <w:t>代码中不存在硬编码开发机绝对路径、账号口令或未申报公网依赖。</w:t>
      </w:r>
    </w:p>
    <w:p w14:paraId="77BB0EBD">
      <w:pPr>
        <w:pStyle w:val="16"/>
        <w:numPr>
          <w:ilvl w:val="0"/>
          <w:numId w:val="11"/>
        </w:numPr>
        <w:tabs>
          <w:tab w:val="clear" w:pos="420"/>
          <w:tab w:val="clear" w:pos="360"/>
        </w:tabs>
        <w:spacing w:after="40"/>
        <w:ind w:left="840" w:leftChars="0" w:hanging="420" w:firstLineChars="0"/>
      </w:pPr>
      <w:r>
        <w:rPr>
          <w:rFonts w:ascii="微软雅黑" w:hAnsi="微软雅黑" w:eastAsia="微软雅黑"/>
          <w:sz w:val="21"/>
        </w:rPr>
        <w:t>已提供版本号和本次交付变更说明。</w:t>
      </w:r>
    </w:p>
    <w:p w14:paraId="6EB8966C">
      <w:pPr>
        <w:jc w:val="both"/>
      </w:pPr>
    </w:p>
    <w:sectPr>
      <w:footerReference r:id="rId5" w:type="default"/>
      <w:pgSz w:w="12240" w:h="15840"/>
      <w:pgMar w:top="1134" w:right="1134" w:bottom="1020" w:left="1247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舒圆体 W03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舒圆体 W03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C1D39E">
    <w:pPr>
      <w:pStyle w:val="24"/>
      <w:jc w:val="center"/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6081395</wp:posOffset>
              </wp:positionH>
              <wp:positionV relativeFrom="paragraph">
                <wp:posOffset>-44450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3A54F68">
                          <w:pPr>
                            <w:pStyle w:val="24"/>
                            <w:jc w:val="right"/>
                            <w:rPr>
                              <w:color w:val="D9D9D9" w:themeColor="background1" w:themeShade="D9"/>
                            </w:rPr>
                          </w:pPr>
                          <w:r>
                            <w:rPr>
                              <w:color w:val="D9D9D9" w:themeColor="background1" w:themeShade="D9"/>
                            </w:rPr>
                            <w:fldChar w:fldCharType="begin"/>
                          </w:r>
                          <w:r>
                            <w:rPr>
                              <w:color w:val="D9D9D9" w:themeColor="background1" w:themeShade="D9"/>
                            </w:rPr>
                            <w:instrText xml:space="preserve"> PAGE  \* MERGEFORMAT </w:instrText>
                          </w:r>
                          <w:r>
                            <w:rPr>
                              <w:color w:val="D9D9D9" w:themeColor="background1" w:themeShade="D9"/>
                            </w:rPr>
                            <w:fldChar w:fldCharType="separate"/>
                          </w:r>
                          <w:r>
                            <w:rPr>
                              <w:color w:val="D9D9D9" w:themeColor="background1" w:themeShade="D9"/>
                            </w:rPr>
                            <w:t>1</w:t>
                          </w:r>
                          <w:r>
                            <w:rPr>
                              <w:color w:val="D9D9D9" w:themeColor="background1" w:themeShade="D9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78.85pt;margin-top:-3.5pt;height:144pt;width:144p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3A54F68">
                    <w:pPr>
                      <w:pStyle w:val="24"/>
                      <w:jc w:val="right"/>
                      <w:rPr>
                        <w:color w:val="D9D9D9" w:themeColor="background1" w:themeShade="D9"/>
                      </w:rPr>
                    </w:pPr>
                    <w:r>
                      <w:rPr>
                        <w:color w:val="D9D9D9" w:themeColor="background1" w:themeShade="D9"/>
                      </w:rPr>
                      <w:fldChar w:fldCharType="begin"/>
                    </w:r>
                    <w:r>
                      <w:rPr>
                        <w:color w:val="D9D9D9" w:themeColor="background1" w:themeShade="D9"/>
                      </w:rPr>
                      <w:instrText xml:space="preserve"> PAGE  \* MERGEFORMAT </w:instrText>
                    </w:r>
                    <w:r>
                      <w:rPr>
                        <w:color w:val="D9D9D9" w:themeColor="background1" w:themeShade="D9"/>
                      </w:rPr>
                      <w:fldChar w:fldCharType="separate"/>
                    </w:r>
                    <w:r>
                      <w:rPr>
                        <w:color w:val="D9D9D9" w:themeColor="background1" w:themeShade="D9"/>
                      </w:rPr>
                      <w:t>1</w:t>
                    </w:r>
                    <w:r>
                      <w:rPr>
                        <w:color w:val="D9D9D9" w:themeColor="background1" w:themeShade="D9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color w:val="787878"/>
        <w:sz w:val="16"/>
        <w:lang w:val="en-US" w:eastAsia="zh-CN"/>
      </w:rPr>
      <w:t>动力所统一API接入规范</w:t>
    </w:r>
    <w:r>
      <w:rPr>
        <w:rFonts w:ascii="微软雅黑" w:hAnsi="微软雅黑" w:eastAsia="微软雅黑"/>
        <w:color w:val="787878"/>
        <w:sz w:val="16"/>
      </w:rPr>
      <w:t>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D14138"/>
    <w:multiLevelType w:val="singleLevel"/>
    <w:tmpl w:val="8BD14138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9177BBE4"/>
    <w:multiLevelType w:val="singleLevel"/>
    <w:tmpl w:val="9177BBE4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F435FD6E"/>
    <w:multiLevelType w:val="singleLevel"/>
    <w:tmpl w:val="F435FD6E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8">
    <w:nsid w:val="FFFFFF89"/>
    <w:multiLevelType w:val="multi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9">
    <w:nsid w:val="13179A8A"/>
    <w:multiLevelType w:val="singleLevel"/>
    <w:tmpl w:val="13179A8A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0">
    <w:nsid w:val="2538BCD7"/>
    <w:multiLevelType w:val="singleLevel"/>
    <w:tmpl w:val="2538BCD7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9"/>
  </w:num>
  <w:num w:numId="8">
    <w:abstractNumId w:val="0"/>
  </w:num>
  <w:num w:numId="9">
    <w:abstractNumId w:val="2"/>
  </w:num>
  <w:num w:numId="10">
    <w:abstractNumId w:val="1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C262D"/>
    <w:rsid w:val="07632E46"/>
    <w:rsid w:val="082C5A93"/>
    <w:rsid w:val="08E322CE"/>
    <w:rsid w:val="0B2324F5"/>
    <w:rsid w:val="0BAE21B6"/>
    <w:rsid w:val="0E511C4A"/>
    <w:rsid w:val="0F93270C"/>
    <w:rsid w:val="16FB6BF7"/>
    <w:rsid w:val="1E2D392D"/>
    <w:rsid w:val="206D6B0B"/>
    <w:rsid w:val="226D1679"/>
    <w:rsid w:val="2BE60526"/>
    <w:rsid w:val="2FF63FA8"/>
    <w:rsid w:val="309F019C"/>
    <w:rsid w:val="30C71C5F"/>
    <w:rsid w:val="3805122C"/>
    <w:rsid w:val="38D359D5"/>
    <w:rsid w:val="39D3037C"/>
    <w:rsid w:val="3B274BE3"/>
    <w:rsid w:val="3E823D9C"/>
    <w:rsid w:val="42497F67"/>
    <w:rsid w:val="452D591E"/>
    <w:rsid w:val="4B7257B9"/>
    <w:rsid w:val="504D2D2F"/>
    <w:rsid w:val="54CA1F7F"/>
    <w:rsid w:val="568E01E7"/>
    <w:rsid w:val="59457283"/>
    <w:rsid w:val="5BE30FD5"/>
    <w:rsid w:val="64CE2822"/>
    <w:rsid w:val="66460B4F"/>
    <w:rsid w:val="66C37A39"/>
    <w:rsid w:val="67DC04BB"/>
    <w:rsid w:val="68550B65"/>
    <w:rsid w:val="6CFC5A53"/>
    <w:rsid w:val="717E737E"/>
    <w:rsid w:val="71A87F57"/>
    <w:rsid w:val="75752704"/>
    <w:rsid w:val="789456D9"/>
    <w:rsid w:val="79C57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0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0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0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00"/>
      <w:outlineLvl w:val="2"/>
    </w:pPr>
    <w:rPr>
      <w:rFonts w:asciiTheme="majorHAnsi" w:hAnsiTheme="majorHAnsi" w:eastAsiaTheme="majorEastAsia" w:cstheme="majorBidi"/>
      <w:b/>
      <w:bCs/>
      <w:color w:val="444444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tabs>
        <w:tab w:val="left" w:pos="360"/>
        <w:tab w:val="clear" w:pos="780"/>
      </w:tabs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uiPriority w:val="0"/>
    <w:pPr>
      <w:shd w:val="clear" w:fill="F2F4F7"/>
      <w:spacing w:before="80" w:after="120" w:line="276" w:lineRule="auto"/>
      <w:ind w:left="283" w:right="283"/>
    </w:pPr>
    <w:rPr>
      <w:rFonts w:ascii="Consolas" w:hAnsi="Consolas" w:eastAsia="微软雅黑" w:cstheme="minorBidi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4806</Words>
  <Characters>7167</Characters>
  <Lines>0</Lines>
  <Paragraphs>0</Paragraphs>
  <TotalTime>95</TotalTime>
  <ScaleCrop>false</ScaleCrop>
  <LinksUpToDate>false</LinksUpToDate>
  <CharactersWithSpaces>7586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于小耘</cp:lastModifiedBy>
  <dcterms:modified xsi:type="dcterms:W3CDTF">2026-08-15T02:06:36Z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eyJoZGlkIjoiMmE0MjMwMWE4NWE1MGE3OGZkZTQ1YWNiOGQ3NTlkZjYiLCJ1c2VySWQiOiIzMDExNzQzODUifQ==</vt:lpwstr>
  </property>
  <property fmtid="{D5CDD505-2E9C-101B-9397-08002B2CF9AE}" pid="3" name="KSOProductBuildVer">
    <vt:lpwstr>2052-12.1.0.28022</vt:lpwstr>
  </property>
  <property fmtid="{D5CDD505-2E9C-101B-9397-08002B2CF9AE}" pid="4" name="ICV">
    <vt:lpwstr>AA48E28AA50043ABA8751C8EF9D5BB94_13</vt:lpwstr>
  </property>
</Properties>
</file>