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C5CE7"/>
          <w:sz w:val="44"/>
          <w:szCs w:val="44"/>
        </w:rPr>
        <w:t xml:space="preserve">STRATEGY REPORT</w:t>
      </w:r>
    </w:p>
    <w:p>
      <w:pPr>
        <w:spacing w:after="40"/>
        <w:jc w:val="center"/>
      </w:pPr>
      <w:r>
        <w:rPr>
          <w:color w:val="2D3436"/>
          <w:sz w:val="28"/>
          <w:szCs w:val="28"/>
        </w:rPr>
        <w:t xml:space="preserve">The Data-Driven Social Engagement Initiative</w:t>
      </w:r>
    </w:p>
    <w:p>
      <w:pPr>
        <w:spacing w:after="300"/>
        <w:jc w:val="center"/>
      </w:pPr>
      <w:r>
        <w:rPr>
          <w:i/>
          <w:iCs/>
          <w:color w:val="636E72"/>
          <w:sz w:val="20"/>
          <w:szCs w:val="20"/>
        </w:rPr>
        <w:t xml:space="preserve">180 posts analyzed  •  594 comments processed  •  2,090 followers gained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60"/>
      </w:pPr>
      <w:r>
        <w:t xml:space="preserve">This report presents data-backed findings from the Data-Driven Social Engagement Initiative pipeline: a Content Performance Tracker, Virality Prediction Engine, Audience Sentiment Analyzer (NLP), and A/B Testing Framework applied to 180 pieces of content across 10 "struggle topics." The objective was to replace creative guesswork with statistical evidence of what drives relatability and organic growth.</w:t>
      </w:r>
    </w:p>
    <w:p>
      <w:pPr>
        <w:spacing w:after="160"/>
      </w:pPr>
      <w:r>
        <w:t xml:space="preserve">The single clearest finding: content built around Loneliness produced the highest Viral Coefficient (26.42) and the highest Problem Awareness score (83.9% of comments tagged "Relatable" by the NLP module) — nearly 2.4x the relatability rate of the lowest-performing topic, Friendship Fallouts (35.7%).</w:t>
      </w:r>
    </w:p>
    <w:p>
      <w:pPr>
        <w:pStyle w:val="Heading1"/>
        <w:spacing w:after="150" w:before="300"/>
      </w:pPr>
      <w:r>
        <w:t xml:space="preserve">2.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Performance Tracker aggregated reach, likes, comments, shares, saves and retention rate per post.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Virality Prediction Engine computed a Viral Coefficient weighting shares (3x) and saves (2.5x) above likes (1x), normalized by reach.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Audience Sentiment Analyzer used a relatability-trigger lexicon combined with TextBlob subjectivity scoring to tag each comment 'Relatable' or 'Neutral' (87.2% agreement against validation labels).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Testing Framework used Welch's t-test for two-level variables (format, hook type) and one-way ANOVA for the four-level post-time variable, at alpha = 0.05.</w:t>
      </w:r>
    </w:p>
    <w:p>
      <w:pPr>
        <w:pStyle w:val="Heading1"/>
        <w:spacing w:after="150" w:before="300"/>
      </w:pPr>
      <w:r>
        <w:t xml:space="preserve">3. Viral Coefficient &amp; Problem Awareness by Topic</w:t>
      </w:r>
    </w:p>
    <w:p>
      <w:pPr>
        <w:spacing w:after="160"/>
      </w:pPr>
      <w:r>
        <w:t xml:space="preserve">Topics ranked by average Viral Coefficient, with the NLP-derived Problem Awareness rate and Save-to-Share ratio (saves &gt; shares indicates users bookmarking content for personal reflection — a proxy for feeling 'understood' rather than just entertained):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500"/>
        <w:gridCol w:w="1500"/>
        <w:gridCol w:w="1600"/>
        <w:gridCol w:w="1600"/>
      </w:tblGrid>
      <w:tr>
        <w:tc>
          <w:tcPr>
            <w:tcW w:type="dxa" w:w="700"/>
            <w:shd w:fill="6C5CE7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shd w:fill="6C5CE7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1500"/>
            <w:shd w:fill="6C5CE7" w:val="clear"/>
          </w:tcPr>
          <w:p>
            <w:r>
              <w:rPr>
                <w:b/>
                <w:bCs/>
                <w:color w:val="FFFFFF"/>
              </w:rPr>
              <w:t xml:space="preserve">Viral Coeff.</w:t>
            </w:r>
          </w:p>
        </w:tc>
        <w:tc>
          <w:tcPr>
            <w:tcW w:type="dxa" w:w="1500"/>
            <w:shd w:fill="6C5CE7" w:val="clear"/>
          </w:tcPr>
          <w:p>
            <w:r>
              <w:rPr>
                <w:b/>
                <w:bCs/>
                <w:color w:val="FFFFFF"/>
              </w:rPr>
              <w:t xml:space="preserve">% Relatable</w:t>
            </w:r>
          </w:p>
        </w:tc>
        <w:tc>
          <w:tcPr>
            <w:tcW w:type="dxa" w:w="1600"/>
            <w:shd w:fill="6C5CE7" w:val="clear"/>
          </w:tcPr>
          <w:p>
            <w:r>
              <w:rPr>
                <w:b/>
                <w:bCs/>
                <w:color w:val="FFFFFF"/>
              </w:rPr>
              <w:t xml:space="preserve">Save:Share</w:t>
            </w:r>
          </w:p>
        </w:tc>
        <w:tc>
          <w:tcPr>
            <w:tcW w:type="dxa" w:w="1600"/>
            <w:shd w:fill="6C5CE7" w:val="clear"/>
          </w:tcPr>
          <w:p>
            <w:r>
              <w:rPr>
                <w:b/>
                <w:bCs/>
                <w:color w:val="FFFFFF"/>
              </w:rPr>
              <w:t xml:space="preserve">Followers Gained</w:t>
            </w:r>
          </w:p>
        </w:tc>
      </w:tr>
      <w:tr>
        <w:tc>
          <w:tcPr>
            <w:tcW w:type="dxa" w:w="700"/>
            <w:shd w:fill="EDE9FF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600"/>
            <w:shd w:fill="EDE9FF" w:val="clear"/>
          </w:tcPr>
          <w:p>
            <w:r>
              <w:rPr>
                <w:b/>
                <w:bCs/>
              </w:rPr>
              <w:t xml:space="preserve">Loneliness</w:t>
            </w:r>
          </w:p>
        </w:tc>
        <w:tc>
          <w:tcPr>
            <w:tcW w:type="dxa" w:w="1500"/>
            <w:shd w:fill="EDE9FF" w:val="clear"/>
          </w:tcPr>
          <w:p>
            <w:r>
              <w:rPr>
                <w:b/>
                <w:bCs/>
              </w:rPr>
              <w:t xml:space="preserve">26.42</w:t>
            </w:r>
          </w:p>
        </w:tc>
        <w:tc>
          <w:tcPr>
            <w:tcW w:type="dxa" w:w="1500"/>
            <w:shd w:fill="EDE9FF" w:val="clear"/>
          </w:tcPr>
          <w:p>
            <w:r>
              <w:rPr>
                <w:b/>
                <w:bCs/>
              </w:rPr>
              <w:t xml:space="preserve">83.9%</w:t>
            </w:r>
          </w:p>
        </w:tc>
        <w:tc>
          <w:tcPr>
            <w:tcW w:type="dxa" w:w="1600"/>
            <w:shd w:fill="EDE9FF" w:val="clear"/>
          </w:tcPr>
          <w:p>
            <w:r>
              <w:rPr>
                <w:b/>
                <w:bCs/>
              </w:rPr>
              <w:t xml:space="preserve">1.02</w:t>
            </w:r>
          </w:p>
        </w:tc>
        <w:tc>
          <w:tcPr>
            <w:tcW w:type="dxa" w:w="1600"/>
            <w:shd w:fill="EDE9FF" w:val="clear"/>
          </w:tcPr>
          <w:p>
            <w:r>
              <w:rPr>
                <w:b/>
                <w:bCs/>
              </w:rPr>
              <w:t xml:space="preserve">440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Social Anxiety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25.28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78.6%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1.29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215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Body Image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23.53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63.2%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1.25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331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Career Burnout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23.02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59%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1.11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123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Overthinking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22.75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51.9%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1.12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203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Imposter Syndrome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22.11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60.4%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1.33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185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Dating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20.96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36.5%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1.15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166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Family Pressure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18.99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31%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1.19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186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Financial Stress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18.72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41.4%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134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Friendship Fallouts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17.81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35.7%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1.33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107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A/B Testing Results</w:t>
      </w:r>
    </w:p>
    <w:p>
      <w:pPr>
        <w:spacing w:after="160"/>
      </w:pPr>
      <w:r>
        <w:t xml:space="preserve">None of the format, hook-type, or posting-time variables reached statistical significance at the 180-post sample size tested — meaning topic choice, not format or scheduling, is the dominant lever for this content strategy: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shd w:fill="6C5CE7" w:val="clear"/>
          </w:tcPr>
          <w:p>
            <w:r>
              <w:rPr>
                <w:b/>
                <w:bCs/>
                <w:color w:val="FFFFFF"/>
              </w:rPr>
              <w:t xml:space="preserve">Variable Tested</w:t>
            </w:r>
          </w:p>
        </w:tc>
        <w:tc>
          <w:tcPr>
            <w:tcW w:type="dxa" w:w="2500"/>
            <w:shd w:fill="6C5CE7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2500"/>
            <w:shd w:fill="6C5CE7" w:val="clear"/>
          </w:tcPr>
          <w:p>
            <w:r>
              <w:rPr>
                <w:b/>
                <w:bCs/>
                <w:color w:val="FFFFFF"/>
              </w:rPr>
              <w:t xml:space="preserve">Conclusion</w:t>
            </w:r>
          </w:p>
        </w:tc>
      </w:tr>
      <w:tr>
        <w:tc>
          <w:tcPr>
            <w:tcW w:type="dxa" w:w="4000"/>
          </w:tcPr>
          <w:p>
            <w:r>
              <w:t xml:space="preserve">Format (Short vs Long)</w:t>
            </w:r>
          </w:p>
        </w:tc>
        <w:tc>
          <w:tcPr>
            <w:tcW w:type="dxa" w:w="2500"/>
          </w:tcPr>
          <w:p>
            <w:r>
              <w:t xml:space="preserve">p = 0.4958</w:t>
            </w:r>
          </w:p>
        </w:tc>
        <w:tc>
          <w:tcPr>
            <w:tcW w:type="dxa" w:w="2500"/>
          </w:tcPr>
          <w:p>
            <w:r>
              <w:t xml:space="preserve">Not significant</w:t>
            </w:r>
          </w:p>
        </w:tc>
      </w:tr>
      <w:tr>
        <w:tc>
          <w:tcPr>
            <w:tcW w:type="dxa" w:w="4000"/>
          </w:tcPr>
          <w:p>
            <w:r>
              <w:t xml:space="preserve">Hook Type (Text vs Visual)</w:t>
            </w:r>
          </w:p>
        </w:tc>
        <w:tc>
          <w:tcPr>
            <w:tcW w:type="dxa" w:w="2500"/>
          </w:tcPr>
          <w:p>
            <w:r>
              <w:t xml:space="preserve">p = 0.0843</w:t>
            </w:r>
          </w:p>
        </w:tc>
        <w:tc>
          <w:tcPr>
            <w:tcW w:type="dxa" w:w="2500"/>
          </w:tcPr>
          <w:p>
            <w:r>
              <w:t xml:space="preserve">Not significant (trend toward Text)</w:t>
            </w:r>
          </w:p>
        </w:tc>
      </w:tr>
      <w:tr>
        <w:tc>
          <w:tcPr>
            <w:tcW w:type="dxa" w:w="4000"/>
          </w:tcPr>
          <w:p>
            <w:r>
              <w:t xml:space="preserve">Post Time (ANOVA, 4 groups)</w:t>
            </w:r>
          </w:p>
        </w:tc>
        <w:tc>
          <w:tcPr>
            <w:tcW w:type="dxa" w:w="2500"/>
          </w:tcPr>
          <w:p>
            <w:r>
              <w:t xml:space="preserve">p = 0.6612</w:t>
            </w:r>
          </w:p>
        </w:tc>
        <w:tc>
          <w:tcPr>
            <w:tcW w:type="dxa" w:w="2500"/>
          </w:tcPr>
          <w:p>
            <w:r>
              <w:t xml:space="preserve">Not significant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Note: the Text hook showed a directional edge over Visual (p = 0.0843) that approaches but does not clear the 0.05 threshold — worth re-testing with a larger sample rather than treated as conclusive.</w:t>
      </w:r>
    </w:p>
    <w:p>
      <w:pPr>
        <w:pStyle w:val="Heading1"/>
        <w:spacing w:after="150" w:before="300"/>
      </w:pPr>
      <w:r>
        <w:t xml:space="preserve">5.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Loneliness and Social Anxiety are the two strongest-performing topics on both engagement (Viral Coefficient) and emotional resonance (% Relatable) — content here should be prioritized.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Family Pressure and Friendship Fallouts show low Problem Awareness scores despite moderate reach — audiences engage passively (likes) rather than personally identifying with the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Save-to-Share ratio is highest for Imposter Syndrome and Friendship Fallouts (1.33), suggesting that content is being privately bookmarked more than publicly shared — a sign of stigma around the topic that content strategy could address directly (e.g. anonymous sharing prompts).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Format, hook type, and post time did not significantly move the Viral Coefficient in this sample — resources are better spent on topic selection and comment-driven iteration than on production/scheduling optimization.</w:t>
      </w:r>
    </w:p>
    <w:p>
      <w:pPr>
        <w:pStyle w:val="Heading1"/>
        <w:spacing w:after="150" w:before="300"/>
      </w:pPr>
      <w:r>
        <w:t xml:space="preserve">6. Recommendation for Next Content Cycle</w:t>
      </w:r>
    </w:p>
    <w:p>
      <w:pPr>
        <w:spacing w:after="160"/>
      </w:pPr>
      <w:r>
        <w:t xml:space="preserve">Based on the Engagement Optimization Recommender output, the highest-expected-performance combination for the coming week 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Topic: Loneliness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Format: Short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Hook: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Time: Morning</w:t>
      </w:r>
    </w:p>
    <w:p>
      <w:pPr>
        <w:spacing w:after="160"/>
      </w:pPr>
      <w:r>
        <w:t xml:space="preserve">This combination is projected to outperform the current portfolio average Viral Coefficient by roughly 12–15%, based on the pipeline's historical fit.</w:t>
      </w:r>
    </w:p>
    <w:p>
      <w:pPr>
        <w:pStyle w:val="Heading1"/>
        <w:spacing w:after="150" w:before="300"/>
      </w:pPr>
      <w:r>
        <w:t xml:space="preserve">7.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was generated using a seeded synthetic simulation (Content Performance Tracker module) rather than a live Instagram Graph API / YouTube Data API connection, since the project window did not allow time to build and grow a real audience for genuine engagement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sentiment lexicon is rule-based for transparency; a larger labeled dataset would allow a trained classifier (e.g. fine-tuned DistilBERT) to improve nuance detection beyond explicit trigger phrases.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test sample sizes (~90 per group) are modest; results on format/hook/time should be re-validated as more content is published.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2026-08-28T17:25:18.042Z</dcterms:created>
  <dcterms:modified xsi:type="dcterms:W3CDTF">2026-08-28T17:25:18.043Z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