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27E17" w14:textId="65DB6500" w:rsidR="00635A64" w:rsidRPr="00635A64" w:rsidRDefault="00635A64" w:rsidP="00635A64">
      <w:pPr>
        <w:pStyle w:val="Heading1"/>
        <w:spacing w:before="300" w:after="150"/>
        <w:rPr>
          <w:color w:val="000000" w:themeColor="text1"/>
        </w:rPr>
      </w:pPr>
      <w:r w:rsidRPr="00635A64">
        <w:rPr>
          <w:b/>
          <w:bCs/>
          <w:color w:val="000000" w:themeColor="text1"/>
          <w:sz w:val="28"/>
          <w:szCs w:val="28"/>
        </w:rPr>
        <w:t>Key Findings</w:t>
      </w:r>
    </w:p>
    <w:p w14:paraId="157C016A" w14:textId="77777777" w:rsidR="00635A64" w:rsidRPr="00635A64" w:rsidRDefault="00635A64" w:rsidP="00635A64">
      <w:pPr>
        <w:pStyle w:val="Heading2"/>
        <w:spacing w:before="200" w:after="100"/>
        <w:rPr>
          <w:color w:val="000000" w:themeColor="text1"/>
        </w:rPr>
      </w:pPr>
      <w:r w:rsidRPr="00635A64">
        <w:rPr>
          <w:b/>
          <w:bCs/>
          <w:color w:val="000000" w:themeColor="text1"/>
          <w:sz w:val="24"/>
          <w:szCs w:val="24"/>
        </w:rPr>
        <w:t>Sales by Category</w:t>
      </w:r>
    </w:p>
    <w:p w14:paraId="514EF6CE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Technology is the highest revenue-generating category with $0.84M in sales.</w:t>
      </w:r>
    </w:p>
    <w:p w14:paraId="5D5F189F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Furniture generated approximately $0.74M while Office Supplies recorded the lowest at $0.72M.</w:t>
      </w:r>
    </w:p>
    <w:p w14:paraId="24407929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Despite lower sales volume, Technology likely carries the highest profit margins.</w:t>
      </w:r>
    </w:p>
    <w:p w14:paraId="5874D4DD" w14:textId="77777777" w:rsidR="00635A64" w:rsidRPr="00635A64" w:rsidRDefault="00635A64" w:rsidP="00635A64">
      <w:pPr>
        <w:pStyle w:val="Heading2"/>
        <w:spacing w:before="200" w:after="100"/>
        <w:rPr>
          <w:color w:val="000000" w:themeColor="text1"/>
        </w:rPr>
      </w:pPr>
      <w:r w:rsidRPr="00635A64">
        <w:rPr>
          <w:b/>
          <w:bCs/>
          <w:color w:val="000000" w:themeColor="text1"/>
          <w:sz w:val="24"/>
          <w:szCs w:val="24"/>
        </w:rPr>
        <w:t>Monthly Sales Trend</w:t>
      </w:r>
    </w:p>
    <w:p w14:paraId="1516FA41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Sales peaked in November at $352,461.07, indicating strong Q4 seasonal demand.</w:t>
      </w:r>
    </w:p>
    <w:p w14:paraId="2D8B4C88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February recorded the lowest sales at $59,751.25, suggesting a post-holiday slowdown.</w:t>
      </w:r>
    </w:p>
    <w:p w14:paraId="5403CABB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The business experiences significant seasonality that can inform inventory and marketing strategies.</w:t>
      </w:r>
    </w:p>
    <w:p w14:paraId="30855328" w14:textId="77777777" w:rsidR="00635A64" w:rsidRPr="00635A64" w:rsidRDefault="00635A64" w:rsidP="00635A64">
      <w:pPr>
        <w:pStyle w:val="Heading2"/>
        <w:spacing w:before="200" w:after="100"/>
        <w:rPr>
          <w:color w:val="000000" w:themeColor="text1"/>
        </w:rPr>
      </w:pPr>
      <w:r w:rsidRPr="00635A64">
        <w:rPr>
          <w:b/>
          <w:bCs/>
          <w:color w:val="000000" w:themeColor="text1"/>
          <w:sz w:val="24"/>
          <w:szCs w:val="24"/>
        </w:rPr>
        <w:t>Sales by Segment</w:t>
      </w:r>
    </w:p>
    <w:p w14:paraId="05D3FC9A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The Consumer segment dominates with $1.16M in sales — the largest share of revenue.</w:t>
      </w:r>
    </w:p>
    <w:p w14:paraId="308E55F8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The Corporate segment follows as the second largest contributor.</w:t>
      </w:r>
    </w:p>
    <w:p w14:paraId="5F84E382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Home Office is the smallest segment with $0.43M, representing an opportunity for targeted growth.</w:t>
      </w:r>
    </w:p>
    <w:p w14:paraId="0818D8F5" w14:textId="77777777" w:rsidR="00635A64" w:rsidRPr="00635A64" w:rsidRDefault="00635A64" w:rsidP="00635A64">
      <w:pPr>
        <w:pStyle w:val="Heading2"/>
        <w:spacing w:before="200" w:after="100"/>
        <w:rPr>
          <w:color w:val="000000" w:themeColor="text1"/>
        </w:rPr>
      </w:pPr>
      <w:r w:rsidRPr="00635A64">
        <w:rPr>
          <w:b/>
          <w:bCs/>
          <w:color w:val="000000" w:themeColor="text1"/>
          <w:sz w:val="24"/>
          <w:szCs w:val="24"/>
        </w:rPr>
        <w:t>Sales by Region (Map)</w:t>
      </w:r>
    </w:p>
    <w:p w14:paraId="3C47E39B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North America dominates the geographic sales distribution across all states.</w:t>
      </w:r>
    </w:p>
    <w:p w14:paraId="2CF3786B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The West region leads with $725,460 in total revenue, indicating a strong customer base on the West Coast.</w:t>
      </w:r>
    </w:p>
    <w:p w14:paraId="135F62D0" w14:textId="77777777" w:rsidR="00635A64" w:rsidRPr="00635A64" w:rsidRDefault="00635A64" w:rsidP="00635A64">
      <w:pPr>
        <w:pStyle w:val="Heading2"/>
        <w:spacing w:before="200" w:after="100"/>
        <w:rPr>
          <w:color w:val="000000" w:themeColor="text1"/>
        </w:rPr>
      </w:pPr>
      <w:r w:rsidRPr="00635A64">
        <w:rPr>
          <w:b/>
          <w:bCs/>
          <w:color w:val="000000" w:themeColor="text1"/>
          <w:sz w:val="24"/>
          <w:szCs w:val="24"/>
        </w:rPr>
        <w:t>Top Products</w:t>
      </w:r>
    </w:p>
    <w:p w14:paraId="4D5E730B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Canon Image Class is the top-selling product with $62,000 in sales.</w:t>
      </w:r>
    </w:p>
    <w:p w14:paraId="3B7050A7" w14:textId="77777777" w:rsidR="00635A64" w:rsidRPr="00635A64" w:rsidRDefault="00635A64" w:rsidP="00635A64">
      <w:pPr>
        <w:pStyle w:val="ListParagraph"/>
        <w:numPr>
          <w:ilvl w:val="0"/>
          <w:numId w:val="1"/>
        </w:numPr>
        <w:spacing w:before="60" w:after="60"/>
        <w:rPr>
          <w:color w:val="000000" w:themeColor="text1"/>
        </w:rPr>
      </w:pPr>
      <w:r w:rsidRPr="00635A64">
        <w:rPr>
          <w:color w:val="000000" w:themeColor="text1"/>
        </w:rPr>
        <w:t>High-value individual products in the Technology category drive significant revenue.</w:t>
      </w:r>
    </w:p>
    <w:p w14:paraId="5ED2E079" w14:textId="77777777" w:rsidR="00635A64" w:rsidRPr="00635A64" w:rsidRDefault="00635A64" w:rsidP="00635A64">
      <w:pPr>
        <w:spacing w:before="200"/>
        <w:rPr>
          <w:color w:val="000000" w:themeColor="text1"/>
        </w:rPr>
      </w:pPr>
    </w:p>
    <w:p w14:paraId="5AFA5893" w14:textId="202702F0" w:rsidR="00635A64" w:rsidRPr="00635A64" w:rsidRDefault="00635A64" w:rsidP="00635A64">
      <w:pPr>
        <w:pStyle w:val="Heading1"/>
        <w:spacing w:before="300" w:after="150"/>
        <w:rPr>
          <w:color w:val="000000" w:themeColor="text1"/>
        </w:rPr>
      </w:pPr>
      <w:r w:rsidRPr="00635A64">
        <w:rPr>
          <w:b/>
          <w:bCs/>
          <w:color w:val="000000" w:themeColor="text1"/>
          <w:sz w:val="28"/>
          <w:szCs w:val="28"/>
        </w:rPr>
        <w:t xml:space="preserve"> Key Insights</w:t>
      </w:r>
    </w:p>
    <w:p w14:paraId="5124D857" w14:textId="77777777" w:rsidR="00635A64" w:rsidRPr="00635A64" w:rsidRDefault="00635A64" w:rsidP="00635A64">
      <w:pPr>
        <w:spacing w:before="100" w:after="80"/>
        <w:rPr>
          <w:color w:val="000000" w:themeColor="text1"/>
        </w:rPr>
      </w:pPr>
      <w:r w:rsidRPr="00635A64">
        <w:rPr>
          <w:b/>
          <w:bCs/>
          <w:color w:val="000000" w:themeColor="text1"/>
        </w:rPr>
        <w:t>Insight 1: Technology Drives Revenue</w:t>
      </w:r>
    </w:p>
    <w:p w14:paraId="0D8C72C0" w14:textId="77777777" w:rsidR="00635A64" w:rsidRPr="00635A64" w:rsidRDefault="00635A64" w:rsidP="00635A64">
      <w:pPr>
        <w:spacing w:before="80" w:after="80"/>
        <w:rPr>
          <w:color w:val="000000" w:themeColor="text1"/>
        </w:rPr>
      </w:pPr>
      <w:r w:rsidRPr="00635A64">
        <w:rPr>
          <w:color w:val="000000" w:themeColor="text1"/>
        </w:rPr>
        <w:t>Technology is the top-performing category at $0.84M in sales, led by products such as Canon Image Class at $62K. The business should prioritize stocking and marketing technology products to sustain revenue growth.</w:t>
      </w:r>
    </w:p>
    <w:p w14:paraId="601AEDDD" w14:textId="77777777" w:rsidR="00635A64" w:rsidRPr="00635A64" w:rsidRDefault="00635A64" w:rsidP="00635A64">
      <w:pPr>
        <w:spacing w:before="100" w:after="80"/>
        <w:rPr>
          <w:color w:val="000000" w:themeColor="text1"/>
        </w:rPr>
      </w:pPr>
      <w:r w:rsidRPr="00635A64">
        <w:rPr>
          <w:b/>
          <w:bCs/>
          <w:color w:val="000000" w:themeColor="text1"/>
        </w:rPr>
        <w:t>Insight 2: Strong Q4 Seasonality</w:t>
      </w:r>
    </w:p>
    <w:p w14:paraId="04242762" w14:textId="77777777" w:rsidR="00635A64" w:rsidRPr="00635A64" w:rsidRDefault="00635A64" w:rsidP="00635A64">
      <w:pPr>
        <w:spacing w:before="80" w:after="80"/>
        <w:rPr>
          <w:color w:val="000000" w:themeColor="text1"/>
        </w:rPr>
      </w:pPr>
      <w:r w:rsidRPr="00635A64">
        <w:rPr>
          <w:color w:val="000000" w:themeColor="text1"/>
        </w:rPr>
        <w:t>Sales spike dramatically in November ($352,461) compared to the lowest month of February ($59,751) — a nearly 6x difference. This signals strong end-of-year purchasing behavior, likely driven by holiday and Black Friday demand. The business should ensure adequate inventory and staffing heading into Q4.</w:t>
      </w:r>
    </w:p>
    <w:p w14:paraId="7A0783E2" w14:textId="77777777" w:rsidR="00635A64" w:rsidRPr="00635A64" w:rsidRDefault="00635A64" w:rsidP="00635A64">
      <w:pPr>
        <w:spacing w:before="100" w:after="80"/>
        <w:rPr>
          <w:color w:val="000000" w:themeColor="text1"/>
        </w:rPr>
      </w:pPr>
      <w:r w:rsidRPr="00635A64">
        <w:rPr>
          <w:b/>
          <w:bCs/>
          <w:color w:val="000000" w:themeColor="text1"/>
        </w:rPr>
        <w:t>Insight 3: Consumer Segment is the Core Revenue Driver</w:t>
      </w:r>
    </w:p>
    <w:p w14:paraId="0D5B7887" w14:textId="77777777" w:rsidR="00635A64" w:rsidRPr="00635A64" w:rsidRDefault="00635A64" w:rsidP="00635A64">
      <w:pPr>
        <w:spacing w:before="80" w:after="80"/>
        <w:rPr>
          <w:color w:val="000000" w:themeColor="text1"/>
        </w:rPr>
      </w:pPr>
      <w:r w:rsidRPr="00635A64">
        <w:rPr>
          <w:color w:val="000000" w:themeColor="text1"/>
        </w:rPr>
        <w:lastRenderedPageBreak/>
        <w:t>The Consumer segment accounts for $1.16M in sales — more than double the Home Office segment ($0.43M). Retention strategies targeted at Consumer customers would have the highest revenue impact.</w:t>
      </w:r>
    </w:p>
    <w:p w14:paraId="092B9D9A" w14:textId="77777777" w:rsidR="00635A64" w:rsidRPr="00635A64" w:rsidRDefault="00635A64" w:rsidP="00635A64">
      <w:pPr>
        <w:spacing w:before="100" w:after="80"/>
        <w:rPr>
          <w:color w:val="000000" w:themeColor="text1"/>
        </w:rPr>
      </w:pPr>
      <w:r w:rsidRPr="00635A64">
        <w:rPr>
          <w:b/>
          <w:bCs/>
          <w:color w:val="000000" w:themeColor="text1"/>
        </w:rPr>
        <w:t>Insight 4: West Region Leads Geographically</w:t>
      </w:r>
    </w:p>
    <w:p w14:paraId="6949C627" w14:textId="77777777" w:rsidR="00635A64" w:rsidRPr="00635A64" w:rsidRDefault="00635A64" w:rsidP="00635A64">
      <w:pPr>
        <w:spacing w:before="80" w:after="80"/>
        <w:rPr>
          <w:color w:val="000000" w:themeColor="text1"/>
        </w:rPr>
      </w:pPr>
      <w:r w:rsidRPr="00635A64">
        <w:rPr>
          <w:color w:val="000000" w:themeColor="text1"/>
        </w:rPr>
        <w:t>The West region generates the highest revenue at $725,460. Regional marketing efforts and logistics investments in the West would yield the greatest return.</w:t>
      </w:r>
    </w:p>
    <w:p w14:paraId="4E43C2A0" w14:textId="77777777" w:rsidR="00635A64" w:rsidRPr="00635A64" w:rsidRDefault="00635A64" w:rsidP="00635A64">
      <w:pPr>
        <w:spacing w:before="100" w:after="80"/>
        <w:rPr>
          <w:color w:val="000000" w:themeColor="text1"/>
        </w:rPr>
      </w:pPr>
      <w:r w:rsidRPr="00635A64">
        <w:rPr>
          <w:b/>
          <w:bCs/>
          <w:color w:val="000000" w:themeColor="text1"/>
        </w:rPr>
        <w:t>Insight 5: Profit Margin Requires Attention</w:t>
      </w:r>
    </w:p>
    <w:p w14:paraId="188E42A7" w14:textId="77777777" w:rsidR="00635A64" w:rsidRPr="00635A64" w:rsidRDefault="00635A64" w:rsidP="00635A64">
      <w:pPr>
        <w:spacing w:before="80" w:after="80"/>
        <w:rPr>
          <w:color w:val="000000" w:themeColor="text1"/>
        </w:rPr>
      </w:pPr>
      <w:r w:rsidRPr="00635A64">
        <w:rPr>
          <w:color w:val="000000" w:themeColor="text1"/>
        </w:rPr>
        <w:t>Despite $2.30M in total revenue, the overall profit margin stands at 12.47% ($286.40K). This relatively low margin suggests that discounting strategies or high operating costs may be eroding profitability, particularly in lower-margin categories like Furniture and Office Supplies.</w:t>
      </w:r>
    </w:p>
    <w:p w14:paraId="249FC1EF" w14:textId="77777777" w:rsidR="00635A64" w:rsidRPr="00635A64" w:rsidRDefault="00635A64" w:rsidP="00635A64">
      <w:pPr>
        <w:spacing w:before="200"/>
        <w:rPr>
          <w:color w:val="000000" w:themeColor="text1"/>
        </w:rPr>
      </w:pPr>
    </w:p>
    <w:p w14:paraId="4AF5D51F" w14:textId="77777777" w:rsidR="00A57B10" w:rsidRPr="00635A64" w:rsidRDefault="00A57B10">
      <w:pPr>
        <w:rPr>
          <w:color w:val="000000" w:themeColor="text1"/>
        </w:rPr>
      </w:pPr>
    </w:p>
    <w:sectPr w:rsidR="00A57B10" w:rsidRPr="00635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16B47"/>
    <w:multiLevelType w:val="hybridMultilevel"/>
    <w:tmpl w:val="BB26234C"/>
    <w:lvl w:ilvl="0" w:tplc="9FCE3BC6">
      <w:start w:val="1"/>
      <w:numFmt w:val="bullet"/>
      <w:lvlText w:val="•"/>
      <w:lvlJc w:val="left"/>
      <w:pPr>
        <w:ind w:left="720" w:hanging="360"/>
      </w:pPr>
    </w:lvl>
    <w:lvl w:ilvl="1" w:tplc="6564161E">
      <w:numFmt w:val="decimal"/>
      <w:lvlText w:val=""/>
      <w:lvlJc w:val="left"/>
    </w:lvl>
    <w:lvl w:ilvl="2" w:tplc="BECC0EA4">
      <w:numFmt w:val="decimal"/>
      <w:lvlText w:val=""/>
      <w:lvlJc w:val="left"/>
    </w:lvl>
    <w:lvl w:ilvl="3" w:tplc="F594CB6A">
      <w:numFmt w:val="decimal"/>
      <w:lvlText w:val=""/>
      <w:lvlJc w:val="left"/>
    </w:lvl>
    <w:lvl w:ilvl="4" w:tplc="4814A3D4">
      <w:numFmt w:val="decimal"/>
      <w:lvlText w:val=""/>
      <w:lvlJc w:val="left"/>
    </w:lvl>
    <w:lvl w:ilvl="5" w:tplc="999EBE22">
      <w:numFmt w:val="decimal"/>
      <w:lvlText w:val=""/>
      <w:lvlJc w:val="left"/>
    </w:lvl>
    <w:lvl w:ilvl="6" w:tplc="CC28B06E">
      <w:numFmt w:val="decimal"/>
      <w:lvlText w:val=""/>
      <w:lvlJc w:val="left"/>
    </w:lvl>
    <w:lvl w:ilvl="7" w:tplc="EF5A0020">
      <w:numFmt w:val="decimal"/>
      <w:lvlText w:val=""/>
      <w:lvlJc w:val="left"/>
    </w:lvl>
    <w:lvl w:ilvl="8" w:tplc="2EF010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64"/>
    <w:rsid w:val="00635A64"/>
    <w:rsid w:val="00A5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5242"/>
  <w15:chartTrackingRefBased/>
  <w15:docId w15:val="{BB2F26D6-E64C-492F-BE6A-B4F4C587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A64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link w:val="Heading1Char"/>
    <w:uiPriority w:val="9"/>
    <w:qFormat/>
    <w:rsid w:val="00635A64"/>
    <w:pPr>
      <w:spacing w:after="0" w:line="240" w:lineRule="auto"/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635A64"/>
    <w:pPr>
      <w:spacing w:after="0" w:line="240" w:lineRule="auto"/>
      <w:outlineLvl w:val="1"/>
    </w:pPr>
    <w:rPr>
      <w:rFonts w:ascii="Arial" w:eastAsia="Arial" w:hAnsi="Arial" w:cs="Arial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64"/>
    <w:rPr>
      <w:rFonts w:ascii="Arial" w:eastAsia="Arial" w:hAnsi="Arial" w:cs="Arial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5A64"/>
    <w:rPr>
      <w:rFonts w:ascii="Arial" w:eastAsia="Arial" w:hAnsi="Arial" w:cs="Arial"/>
      <w:color w:val="2E74B5"/>
      <w:sz w:val="26"/>
      <w:szCs w:val="26"/>
    </w:rPr>
  </w:style>
  <w:style w:type="paragraph" w:styleId="ListParagraph">
    <w:name w:val="List Paragraph"/>
    <w:qFormat/>
    <w:rsid w:val="00635A64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Yvvone</dc:creator>
  <cp:keywords/>
  <dc:description/>
  <cp:lastModifiedBy>Yvvone</cp:lastModifiedBy>
  <cp:revision>1</cp:revision>
  <dcterms:created xsi:type="dcterms:W3CDTF">2026-06-22T11:24:00Z</dcterms:created>
  <dcterms:modified xsi:type="dcterms:W3CDTF">2026-06-22T11:28:00Z</dcterms:modified>
</cp:coreProperties>
</file>