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03A53" w14:textId="77777777" w:rsidR="00087612" w:rsidRPr="000C7B5B" w:rsidRDefault="0079317D">
      <w:pPr>
        <w:spacing w:after="80"/>
        <w:jc w:val="center"/>
        <w:rPr>
          <w:color w:val="000000" w:themeColor="text1"/>
        </w:rPr>
      </w:pPr>
      <w:r w:rsidRPr="000C7B5B">
        <w:rPr>
          <w:b/>
          <w:bCs/>
          <w:color w:val="000000" w:themeColor="text1"/>
          <w:sz w:val="44"/>
          <w:szCs w:val="44"/>
        </w:rPr>
        <w:t>Understanding &amp; Reducing Customer Churn</w:t>
      </w:r>
    </w:p>
    <w:p w14:paraId="6FBA7730" w14:textId="77777777" w:rsidR="00087612" w:rsidRPr="000C7B5B" w:rsidRDefault="0079317D">
      <w:pPr>
        <w:spacing w:after="40"/>
        <w:jc w:val="center"/>
        <w:rPr>
          <w:color w:val="000000" w:themeColor="text1"/>
        </w:rPr>
      </w:pPr>
      <w:r w:rsidRPr="000C7B5B">
        <w:rPr>
          <w:i/>
          <w:iCs/>
          <w:color w:val="000000" w:themeColor="text1"/>
          <w:sz w:val="24"/>
          <w:szCs w:val="24"/>
        </w:rPr>
        <w:t>A Business Analytics Case Study on the Telco Customer Churn Dataset</w:t>
      </w:r>
    </w:p>
    <w:p w14:paraId="5F7B6200" w14:textId="77777777" w:rsidR="00087612" w:rsidRPr="000C7B5B" w:rsidRDefault="0079317D">
      <w:pPr>
        <w:spacing w:after="400"/>
        <w:jc w:val="center"/>
        <w:rPr>
          <w:color w:val="000000" w:themeColor="text1"/>
        </w:rPr>
      </w:pPr>
      <w:r w:rsidRPr="000C7B5B">
        <w:rPr>
          <w:color w:val="000000" w:themeColor="text1"/>
          <w:sz w:val="20"/>
          <w:szCs w:val="20"/>
        </w:rPr>
        <w:t>AnalystLab Africa Data Analytics Internship Program — Batch B | Week 5</w:t>
      </w:r>
    </w:p>
    <w:p w14:paraId="1B6B73B1" w14:textId="77777777" w:rsidR="00087612" w:rsidRPr="000C7B5B" w:rsidRDefault="0079317D">
      <w:pPr>
        <w:pStyle w:val="Heading1"/>
        <w:rPr>
          <w:color w:val="000000" w:themeColor="text1"/>
        </w:rPr>
      </w:pPr>
      <w:r w:rsidRPr="000C7B5B">
        <w:rPr>
          <w:color w:val="000000" w:themeColor="text1"/>
        </w:rPr>
        <w:t>1. Introduction</w:t>
      </w:r>
    </w:p>
    <w:p w14:paraId="0442110A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Customer retention is one of the most critical levers for sustainable revenue growth in subscription-based businesses such as telecommunications providers. Acquiring a new customer is significantly more expensive than retaining an existing one, which makes</w:t>
      </w:r>
      <w:r w:rsidRPr="000C7B5B">
        <w:rPr>
          <w:color w:val="000000" w:themeColor="text1"/>
        </w:rPr>
        <w:t xml:space="preserve"> understanding the drivers of customer churn a high-priority business concern.</w:t>
      </w:r>
    </w:p>
    <w:p w14:paraId="759467E6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This case study analyzes the Telco Customer Churn dataset to uncover the factors most strongly associated with customers leaving the company, and to translate these findings int</w:t>
      </w:r>
      <w:r w:rsidRPr="000C7B5B">
        <w:rPr>
          <w:color w:val="000000" w:themeColor="text1"/>
        </w:rPr>
        <w:t>o practical, data-driven recommendations for reducing churn and improving customer lifetime value.</w:t>
      </w:r>
    </w:p>
    <w:p w14:paraId="5962D665" w14:textId="77777777" w:rsidR="00087612" w:rsidRPr="000C7B5B" w:rsidRDefault="0079317D">
      <w:pPr>
        <w:pStyle w:val="Heading1"/>
        <w:rPr>
          <w:color w:val="000000" w:themeColor="text1"/>
        </w:rPr>
      </w:pPr>
      <w:r w:rsidRPr="000C7B5B">
        <w:rPr>
          <w:color w:val="000000" w:themeColor="text1"/>
        </w:rPr>
        <w:t>2. Business Problem Statement</w:t>
      </w:r>
    </w:p>
    <w:p w14:paraId="3FC7B3A3" w14:textId="77777777" w:rsidR="00087612" w:rsidRPr="000C7B5B" w:rsidRDefault="0079317D">
      <w:pPr>
        <w:spacing w:after="150"/>
        <w:rPr>
          <w:color w:val="000000" w:themeColor="text1"/>
        </w:rPr>
      </w:pPr>
      <w:r w:rsidRPr="000C7B5B">
        <w:rPr>
          <w:color w:val="000000" w:themeColor="text1"/>
        </w:rPr>
        <w:t>The company is experiencing a significant rate of customer attrition, with more than a quarter of its customer base churning. T</w:t>
      </w:r>
      <w:r w:rsidRPr="000C7B5B">
        <w:rPr>
          <w:color w:val="000000" w:themeColor="text1"/>
        </w:rPr>
        <w:t>his case study addresses two central business questions:</w:t>
      </w:r>
    </w:p>
    <w:p w14:paraId="6B4350F9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Why are customers leaving the company?</w:t>
      </w:r>
    </w:p>
    <w:p w14:paraId="10865BB8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Which factors contribute most to customer churn?</w:t>
      </w:r>
    </w:p>
    <w:p w14:paraId="0D794DAE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Answering these questions enables the business to move from reactive customer service to proactive, targeted re</w:t>
      </w:r>
      <w:r w:rsidRPr="000C7B5B">
        <w:rPr>
          <w:color w:val="000000" w:themeColor="text1"/>
        </w:rPr>
        <w:t>tention strategy.</w:t>
      </w:r>
    </w:p>
    <w:p w14:paraId="01A5C9A8" w14:textId="77777777" w:rsidR="00087612" w:rsidRPr="000C7B5B" w:rsidRDefault="0079317D">
      <w:pPr>
        <w:pStyle w:val="Heading1"/>
        <w:rPr>
          <w:color w:val="000000" w:themeColor="text1"/>
        </w:rPr>
      </w:pPr>
      <w:r w:rsidRPr="000C7B5B">
        <w:rPr>
          <w:color w:val="000000" w:themeColor="text1"/>
        </w:rPr>
        <w:t>3. Dataset Description</w:t>
      </w:r>
    </w:p>
    <w:p w14:paraId="5035E369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The analysis uses the Telco Customer Churn dataset, which contains customer-level records covering demographics, account information, subscribed services, billing details, and churn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C7B5B" w:rsidRPr="000C7B5B" w14:paraId="6A0D4D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20185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b/>
                <w:bCs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13078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0C7B5B" w:rsidRPr="000C7B5B" w14:paraId="1FF5C5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9B6C6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Total Records (after cleaning)</w:t>
            </w:r>
          </w:p>
        </w:tc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58400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7,032 customers</w:t>
            </w:r>
          </w:p>
        </w:tc>
      </w:tr>
      <w:tr w:rsidR="000C7B5B" w:rsidRPr="000C7B5B" w14:paraId="391E91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631E9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Total Features</w:t>
            </w:r>
          </w:p>
        </w:tc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5807A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21 columns</w:t>
            </w:r>
          </w:p>
        </w:tc>
      </w:tr>
      <w:tr w:rsidR="000C7B5B" w:rsidRPr="000C7B5B" w14:paraId="064A00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06E0D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Target Variable</w:t>
            </w:r>
          </w:p>
        </w:tc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AD4FE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Churn (Yes / No)</w:t>
            </w:r>
          </w:p>
        </w:tc>
      </w:tr>
      <w:tr w:rsidR="000C7B5B" w:rsidRPr="000C7B5B" w14:paraId="70640B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5610A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Key Feature Categories</w:t>
            </w:r>
          </w:p>
        </w:tc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89A4B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Demographics, Account Info, Services Subscribed, Billing &amp; Payment</w:t>
            </w:r>
          </w:p>
        </w:tc>
      </w:tr>
      <w:tr w:rsidR="000C7B5B" w:rsidRPr="000C7B5B" w14:paraId="0A1CBE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81F4D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Overall Churn Rate</w:t>
            </w:r>
          </w:p>
        </w:tc>
        <w:tc>
          <w:tcPr>
            <w:tcW w:w="46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5AE4E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26.58% (1,869 of 7,032 customers)</w:t>
            </w:r>
          </w:p>
        </w:tc>
      </w:tr>
    </w:tbl>
    <w:p w14:paraId="0BBD7342" w14:textId="77777777" w:rsidR="00087612" w:rsidRPr="000C7B5B" w:rsidRDefault="00087612">
      <w:pPr>
        <w:spacing w:after="200"/>
        <w:rPr>
          <w:color w:val="000000" w:themeColor="text1"/>
        </w:rPr>
      </w:pPr>
    </w:p>
    <w:p w14:paraId="7DFB51F0" w14:textId="77777777" w:rsidR="00087612" w:rsidRPr="000C7B5B" w:rsidRDefault="0079317D">
      <w:pPr>
        <w:pStyle w:val="Heading1"/>
        <w:rPr>
          <w:color w:val="000000" w:themeColor="text1"/>
        </w:rPr>
      </w:pPr>
      <w:r w:rsidRPr="000C7B5B">
        <w:rPr>
          <w:color w:val="000000" w:themeColor="text1"/>
        </w:rPr>
        <w:lastRenderedPageBreak/>
        <w:t>4. Data Analysis Process</w:t>
      </w:r>
    </w:p>
    <w:p w14:paraId="2D834F69" w14:textId="77777777" w:rsidR="00087612" w:rsidRPr="000C7B5B" w:rsidRDefault="0079317D">
      <w:pPr>
        <w:pStyle w:val="Heading2"/>
        <w:rPr>
          <w:color w:val="000000" w:themeColor="text1"/>
        </w:rPr>
      </w:pPr>
      <w:r w:rsidRPr="000C7B5B">
        <w:rPr>
          <w:color w:val="000000" w:themeColor="text1"/>
        </w:rPr>
        <w:t>4.1 Data Cleaning</w:t>
      </w:r>
    </w:p>
    <w:p w14:paraId="218A464A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Converted the TotalCharges column from text to a numeric data type.</w:t>
      </w:r>
    </w:p>
    <w:p w14:paraId="50B741E0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Identified and removed 11 records with missing TotalCharges values (representing customers with zero tenure), as this was a negligible proportion of the dataset (0.16%).</w:t>
      </w:r>
    </w:p>
    <w:p w14:paraId="216702AC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Standardized the SeniorCitizen column from binary (0/1) to categorical (No/Yes) for cl</w:t>
      </w:r>
      <w:r w:rsidRPr="000C7B5B">
        <w:rPr>
          <w:color w:val="000000" w:themeColor="text1"/>
        </w:rPr>
        <w:t>arity and consistency with other categorical fields.</w:t>
      </w:r>
    </w:p>
    <w:p w14:paraId="07DE413A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Verified the dataset for duplicate records — none were found.</w:t>
      </w:r>
    </w:p>
    <w:p w14:paraId="7478FF25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After cleaning, the dataset consisted of 7,032 complete, consistent records ready for analysis.</w:t>
      </w:r>
    </w:p>
    <w:p w14:paraId="60E12DAB" w14:textId="77777777" w:rsidR="00087612" w:rsidRPr="000C7B5B" w:rsidRDefault="0079317D">
      <w:pPr>
        <w:pStyle w:val="Heading2"/>
        <w:rPr>
          <w:color w:val="000000" w:themeColor="text1"/>
        </w:rPr>
      </w:pPr>
      <w:r w:rsidRPr="000C7B5B">
        <w:rPr>
          <w:color w:val="000000" w:themeColor="text1"/>
        </w:rPr>
        <w:t>4.2 Exploratory Data Analysis</w:t>
      </w:r>
    </w:p>
    <w:p w14:paraId="39A1E372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Summary statist</w:t>
      </w:r>
      <w:r w:rsidRPr="000C7B5B">
        <w:rPr>
          <w:color w:val="000000" w:themeColor="text1"/>
        </w:rPr>
        <w:t>ics and distribution analysis were conducted on key numerical variables (tenure, MonthlyCharges, TotalCharges) and the categorical churn outcome. The overall churn rate of 26.58% confirmed that customer attrition is a substantial and addressable business i</w:t>
      </w:r>
      <w:r w:rsidRPr="000C7B5B">
        <w:rPr>
          <w:color w:val="000000" w:themeColor="text1"/>
        </w:rPr>
        <w:t>ssue, not a marginal one.</w:t>
      </w:r>
    </w:p>
    <w:p w14:paraId="129F5C97" w14:textId="77777777" w:rsidR="00087612" w:rsidRPr="000C7B5B" w:rsidRDefault="0079317D">
      <w:pPr>
        <w:pStyle w:val="Heading2"/>
        <w:rPr>
          <w:color w:val="000000" w:themeColor="text1"/>
        </w:rPr>
      </w:pPr>
      <w:r w:rsidRPr="000C7B5B">
        <w:rPr>
          <w:color w:val="000000" w:themeColor="text1"/>
        </w:rPr>
        <w:t>4.3 Key Driver Analysis</w:t>
      </w:r>
    </w:p>
    <w:p w14:paraId="06AFCDF9" w14:textId="77777777" w:rsidR="00087612" w:rsidRPr="000C7B5B" w:rsidRDefault="0079317D">
      <w:pPr>
        <w:spacing w:after="150"/>
        <w:rPr>
          <w:color w:val="000000" w:themeColor="text1"/>
        </w:rPr>
      </w:pPr>
      <w:r w:rsidRPr="000C7B5B">
        <w:rPr>
          <w:color w:val="000000" w:themeColor="text1"/>
        </w:rPr>
        <w:t>Six key variables were analyzed against churn outcome to identify the strongest predictors of attrition: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1800"/>
        <w:gridCol w:w="2280"/>
      </w:tblGrid>
      <w:tr w:rsidR="000C7B5B" w:rsidRPr="000C7B5B" w14:paraId="66C90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D7704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b/>
                <w:bCs/>
                <w:color w:val="000000" w:themeColor="text1"/>
                <w:sz w:val="20"/>
                <w:szCs w:val="20"/>
              </w:rPr>
              <w:t>Driver</w:t>
            </w:r>
          </w:p>
        </w:tc>
        <w:tc>
          <w:tcPr>
            <w:tcW w:w="28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B98B6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b/>
                <w:bCs/>
                <w:color w:val="000000" w:themeColor="text1"/>
                <w:sz w:val="20"/>
                <w:szCs w:val="20"/>
              </w:rPr>
              <w:t>High-Risk Segment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E6A2B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b/>
                <w:bCs/>
                <w:color w:val="000000" w:themeColor="text1"/>
                <w:sz w:val="20"/>
                <w:szCs w:val="20"/>
              </w:rPr>
              <w:t>Churn Rate</w:t>
            </w:r>
          </w:p>
        </w:tc>
        <w:tc>
          <w:tcPr>
            <w:tcW w:w="22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BA440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b/>
                <w:bCs/>
                <w:color w:val="000000" w:themeColor="text1"/>
                <w:sz w:val="20"/>
                <w:szCs w:val="20"/>
              </w:rPr>
              <w:t>Low-Risk Segment</w:t>
            </w:r>
          </w:p>
        </w:tc>
      </w:tr>
      <w:tr w:rsidR="000C7B5B" w:rsidRPr="000C7B5B" w14:paraId="424323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B7CA8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Contract Type</w:t>
            </w:r>
          </w:p>
        </w:tc>
        <w:tc>
          <w:tcPr>
            <w:tcW w:w="28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A1F62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Month-to-month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2D116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42.71%</w:t>
            </w:r>
          </w:p>
        </w:tc>
        <w:tc>
          <w:tcPr>
            <w:tcW w:w="22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C14B4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Two-year (2.85%)</w:t>
            </w:r>
          </w:p>
        </w:tc>
      </w:tr>
      <w:tr w:rsidR="000C7B5B" w:rsidRPr="000C7B5B" w14:paraId="42BDB2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1EE61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Tenure</w:t>
            </w:r>
          </w:p>
        </w:tc>
        <w:tc>
          <w:tcPr>
            <w:tcW w:w="28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2D6D4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Avg. 18 months (churned)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869D2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2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058DC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Avg. 37.7 months (retained)</w:t>
            </w:r>
          </w:p>
        </w:tc>
      </w:tr>
      <w:tr w:rsidR="000C7B5B" w:rsidRPr="000C7B5B" w14:paraId="6E61B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556F6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Monthly Charges</w:t>
            </w:r>
          </w:p>
        </w:tc>
        <w:tc>
          <w:tcPr>
            <w:tcW w:w="28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5C554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Avg. $74.44 (churned)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FF691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2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2FB5A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Avg. $61.31 (retained)</w:t>
            </w:r>
          </w:p>
        </w:tc>
      </w:tr>
      <w:tr w:rsidR="000C7B5B" w:rsidRPr="000C7B5B" w14:paraId="4BCFF3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4198F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Internet Service</w:t>
            </w:r>
          </w:p>
        </w:tc>
        <w:tc>
          <w:tcPr>
            <w:tcW w:w="28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559F0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Fiber optic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847F9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41.89%</w:t>
            </w:r>
          </w:p>
        </w:tc>
        <w:tc>
          <w:tcPr>
            <w:tcW w:w="22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DD1A1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No internet (7.43%)</w:t>
            </w:r>
          </w:p>
        </w:tc>
      </w:tr>
      <w:tr w:rsidR="000C7B5B" w:rsidRPr="000C7B5B" w14:paraId="11C621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A5DBE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Payment Method</w:t>
            </w:r>
          </w:p>
        </w:tc>
        <w:tc>
          <w:tcPr>
            <w:tcW w:w="28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B0550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Electronic check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785E2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45.29%</w:t>
            </w:r>
          </w:p>
        </w:tc>
        <w:tc>
          <w:tcPr>
            <w:tcW w:w="22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9E6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8154D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Bank/Credit auto (~15-17%)</w:t>
            </w:r>
          </w:p>
        </w:tc>
      </w:tr>
      <w:tr w:rsidR="000C7B5B" w:rsidRPr="000C7B5B" w14:paraId="70C23C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EBF21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Tech Support</w:t>
            </w:r>
          </w:p>
        </w:tc>
        <w:tc>
          <w:tcPr>
            <w:tcW w:w="28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741A2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No tech support</w:t>
            </w:r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DCC61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41.65%</w:t>
            </w:r>
          </w:p>
        </w:tc>
        <w:tc>
          <w:tcPr>
            <w:tcW w:w="22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667A0" w14:textId="77777777" w:rsidR="00087612" w:rsidRPr="000C7B5B" w:rsidRDefault="0079317D">
            <w:pPr>
              <w:rPr>
                <w:color w:val="000000" w:themeColor="text1"/>
              </w:rPr>
            </w:pPr>
            <w:r w:rsidRPr="000C7B5B">
              <w:rPr>
                <w:color w:val="000000" w:themeColor="text1"/>
                <w:sz w:val="20"/>
                <w:szCs w:val="20"/>
              </w:rPr>
              <w:t>Has support (15.20%)</w:t>
            </w:r>
          </w:p>
        </w:tc>
      </w:tr>
    </w:tbl>
    <w:p w14:paraId="66949FCC" w14:textId="77777777" w:rsidR="00087612" w:rsidRPr="000C7B5B" w:rsidRDefault="00087612">
      <w:pPr>
        <w:spacing w:after="200"/>
        <w:rPr>
          <w:color w:val="000000" w:themeColor="text1"/>
        </w:rPr>
      </w:pPr>
    </w:p>
    <w:p w14:paraId="6EC34786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A correlation analysis of numerical variables confirmed these patterns: tenure showed the strongest relationship with churn (-0.35), followed by TotalCharges (-0.20) and MonthlyCharges (+0.19). The moderate strength of these individual correlations indicat</w:t>
      </w:r>
      <w:r w:rsidRPr="000C7B5B">
        <w:rPr>
          <w:color w:val="000000" w:themeColor="text1"/>
        </w:rPr>
        <w:t>es that churn is driven by a combination of factors rather than any single variable in isolation.</w:t>
      </w:r>
    </w:p>
    <w:p w14:paraId="549BC788" w14:textId="77777777" w:rsidR="00087612" w:rsidRPr="000C7B5B" w:rsidRDefault="0079317D">
      <w:pPr>
        <w:pStyle w:val="Heading1"/>
        <w:rPr>
          <w:color w:val="000000" w:themeColor="text1"/>
        </w:rPr>
      </w:pPr>
      <w:r w:rsidRPr="000C7B5B">
        <w:rPr>
          <w:color w:val="000000" w:themeColor="text1"/>
        </w:rPr>
        <w:t>5. Key Findings</w:t>
      </w:r>
    </w:p>
    <w:p w14:paraId="77427CF3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lastRenderedPageBreak/>
        <w:t>Contract flexibility strongly predicts churn: month-to-month customers churn at nearly 15 times the rate of two-year contract customers (42.71</w:t>
      </w:r>
      <w:r w:rsidRPr="000C7B5B">
        <w:rPr>
          <w:color w:val="000000" w:themeColor="text1"/>
        </w:rPr>
        <w:t>% vs. 2.85%), reflecting the low switching cost of short-term commitments.</w:t>
      </w:r>
    </w:p>
    <w:p w14:paraId="4CC08098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Newer customers are most vulnerable: churned customers had an average tenure of only 18 months, compared to 37.7 months for retained customers, indicating that loyalty and perceived</w:t>
      </w:r>
      <w:r w:rsidRPr="000C7B5B">
        <w:rPr>
          <w:color w:val="000000" w:themeColor="text1"/>
        </w:rPr>
        <w:t xml:space="preserve"> value build over time.</w:t>
      </w:r>
    </w:p>
    <w:p w14:paraId="10122D0D" w14:textId="2570F2F3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 xml:space="preserve">Price sensitivity is evident: churned customers pay approximately $13 more per month on average, and fiber optic subscribers </w:t>
      </w:r>
      <w:r w:rsidRPr="000C7B5B">
        <w:rPr>
          <w:color w:val="000000" w:themeColor="text1"/>
        </w:rPr>
        <w:t xml:space="preserve"> the company's premium internet tier </w:t>
      </w:r>
      <w:r w:rsidRPr="000C7B5B">
        <w:rPr>
          <w:color w:val="000000" w:themeColor="text1"/>
        </w:rPr>
        <w:t>show the highest churn rate of any service type (41.89%).</w:t>
      </w:r>
    </w:p>
    <w:p w14:paraId="2456F96E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Payment f</w:t>
      </w:r>
      <w:r w:rsidRPr="000C7B5B">
        <w:rPr>
          <w:color w:val="000000" w:themeColor="text1"/>
        </w:rPr>
        <w:t>riction matters: customers paying via electronic check churn at 45.29%, far higher than customers on automatic payment methods (15-17%), suggesting that payment convenience contributes to retention.</w:t>
      </w:r>
    </w:p>
    <w:p w14:paraId="37ABC328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Support services reduce attrition: customers without tech</w:t>
      </w:r>
      <w:r w:rsidRPr="000C7B5B">
        <w:rPr>
          <w:color w:val="000000" w:themeColor="text1"/>
        </w:rPr>
        <w:t xml:space="preserve"> support churn at nearly three times the rate of those with it (41.65% vs. 15.20%), suggesting these add-on services are undervalued or under-communicated to customers.</w:t>
      </w:r>
    </w:p>
    <w:p w14:paraId="536AB956" w14:textId="77777777" w:rsidR="00087612" w:rsidRPr="000C7B5B" w:rsidRDefault="0079317D">
      <w:pPr>
        <w:pStyle w:val="Heading1"/>
        <w:rPr>
          <w:color w:val="000000" w:themeColor="text1"/>
        </w:rPr>
      </w:pPr>
      <w:r w:rsidRPr="000C7B5B">
        <w:rPr>
          <w:color w:val="000000" w:themeColor="text1"/>
        </w:rPr>
        <w:t>6. Business Insights</w:t>
      </w:r>
    </w:p>
    <w:p w14:paraId="4054EFFC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 xml:space="preserve">Patterns Discovered: Churn is not driven by a single cause but by </w:t>
      </w:r>
      <w:r w:rsidRPr="000C7B5B">
        <w:rPr>
          <w:color w:val="000000" w:themeColor="text1"/>
        </w:rPr>
        <w:t>a compounding profile. The highest-risk customer is one who is new to the company, on a month-to-month contract, subscribed to fiber optic internet, paying via electronic check, and without tech support. Each individual factor raises risk, but together the</w:t>
      </w:r>
      <w:r w:rsidRPr="000C7B5B">
        <w:rPr>
          <w:color w:val="000000" w:themeColor="text1"/>
        </w:rPr>
        <w:t>y compound into a customer segment that is highly likely to leave.</w:t>
      </w:r>
    </w:p>
    <w:p w14:paraId="158764ED" w14:textId="2F4DF792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Customer Behavior Standing Out: Customers who lack long-term commitment (contract) and automated routines (payment method) appear to churn more easily, suggesting that convenience and commi</w:t>
      </w:r>
      <w:r w:rsidRPr="000C7B5B">
        <w:rPr>
          <w:color w:val="000000" w:themeColor="text1"/>
        </w:rPr>
        <w:t xml:space="preserve">tment mechanisms </w:t>
      </w:r>
      <w:r w:rsidRPr="000C7B5B">
        <w:rPr>
          <w:color w:val="000000" w:themeColor="text1"/>
        </w:rPr>
        <w:t xml:space="preserve"> not just service quality </w:t>
      </w:r>
      <w:r w:rsidRPr="000C7B5B">
        <w:rPr>
          <w:color w:val="000000" w:themeColor="text1"/>
        </w:rPr>
        <w:t>play a meaningful role in retention.</w:t>
      </w:r>
    </w:p>
    <w:p w14:paraId="06378B6D" w14:textId="77777777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Segments Requiring Attention: New customers (low tenure) on month-to-month contracts with fiber optic service, electronic check payment, and no tech support represent the co</w:t>
      </w:r>
      <w:r w:rsidRPr="000C7B5B">
        <w:rPr>
          <w:color w:val="000000" w:themeColor="text1"/>
        </w:rPr>
        <w:t>mpany's highest-risk segment and should be prioritized for retention efforts.</w:t>
      </w:r>
    </w:p>
    <w:p w14:paraId="1BEC9856" w14:textId="003EBA1D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 xml:space="preserve">Risks and Opportunities: The risk is clear </w:t>
      </w:r>
      <w:r w:rsidRPr="000C7B5B">
        <w:rPr>
          <w:color w:val="000000" w:themeColor="text1"/>
        </w:rPr>
        <w:t xml:space="preserve">over a quarter of the customer base is currently churning, with identifiable, addressable causes. The opportunity is equally clear </w:t>
      </w:r>
      <w:r w:rsidRPr="000C7B5B">
        <w:rPr>
          <w:color w:val="000000" w:themeColor="text1"/>
        </w:rPr>
        <w:t xml:space="preserve"> because the key drivers are operational and commercial (contracts, payment met</w:t>
      </w:r>
      <w:r w:rsidRPr="000C7B5B">
        <w:rPr>
          <w:color w:val="000000" w:themeColor="text1"/>
        </w:rPr>
        <w:t>hods, and service support) rather than purely product-related, the company has direct levers it can pull to reduce churn meaningfully.</w:t>
      </w:r>
    </w:p>
    <w:p w14:paraId="5E9CD682" w14:textId="77777777" w:rsidR="00087612" w:rsidRPr="000C7B5B" w:rsidRDefault="0079317D">
      <w:pPr>
        <w:pStyle w:val="Heading1"/>
        <w:rPr>
          <w:color w:val="000000" w:themeColor="text1"/>
        </w:rPr>
      </w:pPr>
      <w:r w:rsidRPr="000C7B5B">
        <w:rPr>
          <w:color w:val="000000" w:themeColor="text1"/>
        </w:rPr>
        <w:t>7. Recommendations</w:t>
      </w:r>
    </w:p>
    <w:p w14:paraId="41DE2D11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Incentivize long-term contracts: Offer discounts, loyalty perks, or bundled pricing for customers who switch from month-to-month to one- or two-year contracts, given that two-year contract customers churn at only 2.85% versus 42.71% for month-to-month cust</w:t>
      </w:r>
      <w:r w:rsidRPr="000C7B5B">
        <w:rPr>
          <w:color w:val="000000" w:themeColor="text1"/>
        </w:rPr>
        <w:t>omers.</w:t>
      </w:r>
    </w:p>
    <w:p w14:paraId="0373B7FA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 xml:space="preserve">Encourage migration to automatic payment methods: Promote the convenience and reliability of bank transfer and credit card payments to reduce the friction and </w:t>
      </w:r>
      <w:r w:rsidRPr="000C7B5B">
        <w:rPr>
          <w:color w:val="000000" w:themeColor="text1"/>
        </w:rPr>
        <w:lastRenderedPageBreak/>
        <w:t>dissatisfaction associated with electronic check, which has the highest churn rate (45.29%</w:t>
      </w:r>
      <w:r w:rsidRPr="000C7B5B">
        <w:rPr>
          <w:color w:val="000000" w:themeColor="text1"/>
        </w:rPr>
        <w:t>) among payment methods.</w:t>
      </w:r>
    </w:p>
    <w:p w14:paraId="09659A49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Improve accessibility and visibility of tech support: Ensure support is available around the clock and proactively communicated to customers, especially new sign-ups, since customers without tech support churn at nearly three times</w:t>
      </w:r>
      <w:r w:rsidRPr="000C7B5B">
        <w:rPr>
          <w:color w:val="000000" w:themeColor="text1"/>
        </w:rPr>
        <w:t xml:space="preserve"> the rate of those who have it.</w:t>
      </w:r>
    </w:p>
    <w:p w14:paraId="19DC994B" w14:textId="107973D9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Reassess fiber optic pricing and value proposition: Explore tiered pricing, value-added bundles, or loyalty discounts specifically for fiber optic subscribers to address cost-related dissatisfaction, given their churn rate o</w:t>
      </w:r>
      <w:r w:rsidRPr="000C7B5B">
        <w:rPr>
          <w:color w:val="000000" w:themeColor="text1"/>
        </w:rPr>
        <w:t xml:space="preserve">f 41.89% </w:t>
      </w:r>
      <w:r w:rsidRPr="000C7B5B">
        <w:rPr>
          <w:color w:val="000000" w:themeColor="text1"/>
        </w:rPr>
        <w:t xml:space="preserve"> the highest of any internet service type.</w:t>
      </w:r>
    </w:p>
    <w:p w14:paraId="3EF1A39E" w14:textId="77777777" w:rsidR="00087612" w:rsidRPr="000C7B5B" w:rsidRDefault="0079317D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0C7B5B">
        <w:rPr>
          <w:color w:val="000000" w:themeColor="text1"/>
        </w:rPr>
        <w:t>Introduce a new-customer retention program: Provide special incentives, onboarding support, or flexible payment plans during the first 12 months, since churned customers leave at an average of just 18 mo</w:t>
      </w:r>
      <w:r w:rsidRPr="000C7B5B">
        <w:rPr>
          <w:color w:val="000000" w:themeColor="text1"/>
        </w:rPr>
        <w:t>nths, making early-tenure customers the most vulnerable to attrition.</w:t>
      </w:r>
    </w:p>
    <w:p w14:paraId="571EC847" w14:textId="77777777" w:rsidR="00087612" w:rsidRPr="000C7B5B" w:rsidRDefault="0079317D">
      <w:pPr>
        <w:pStyle w:val="Heading1"/>
        <w:rPr>
          <w:color w:val="000000" w:themeColor="text1"/>
        </w:rPr>
      </w:pPr>
      <w:r w:rsidRPr="000C7B5B">
        <w:rPr>
          <w:color w:val="000000" w:themeColor="text1"/>
        </w:rPr>
        <w:t>8. Conclusion</w:t>
      </w:r>
    </w:p>
    <w:p w14:paraId="52F62A80" w14:textId="5AC9F2EE" w:rsidR="00087612" w:rsidRPr="000C7B5B" w:rsidRDefault="0079317D">
      <w:pPr>
        <w:spacing w:after="200"/>
        <w:rPr>
          <w:color w:val="000000" w:themeColor="text1"/>
        </w:rPr>
      </w:pPr>
      <w:r w:rsidRPr="000C7B5B">
        <w:rPr>
          <w:color w:val="000000" w:themeColor="text1"/>
        </w:rPr>
        <w:t>This analysis confirms that customer churn at the company is driven by a measurable, addressable combination of factors: contract flexibility, service pricing, payment meth</w:t>
      </w:r>
      <w:r w:rsidRPr="000C7B5B">
        <w:rPr>
          <w:color w:val="000000" w:themeColor="text1"/>
        </w:rPr>
        <w:t xml:space="preserve">od, tenure, and access to support services. Rather than being unpredictable, churn follows clear patterns that the business can act on directly. By targeting the identified high-risk segment </w:t>
      </w:r>
      <w:r w:rsidR="000C7B5B">
        <w:rPr>
          <w:color w:val="000000" w:themeColor="text1"/>
        </w:rPr>
        <w:t>n</w:t>
      </w:r>
      <w:r w:rsidRPr="000C7B5B">
        <w:rPr>
          <w:color w:val="000000" w:themeColor="text1"/>
        </w:rPr>
        <w:t>ew, month-to-month, fiber optic customers paying via electroni</w:t>
      </w:r>
      <w:r w:rsidRPr="000C7B5B">
        <w:rPr>
          <w:color w:val="000000" w:themeColor="text1"/>
        </w:rPr>
        <w:t xml:space="preserve">c check without tech support </w:t>
      </w:r>
      <w:r w:rsidRPr="000C7B5B">
        <w:rPr>
          <w:color w:val="000000" w:themeColor="text1"/>
        </w:rPr>
        <w:t>and implementing the recommendations outlined above, the company has a realistic path to meaningfully reducing its 26.58% churn rate and improving long-term customer retention.</w:t>
      </w:r>
    </w:p>
    <w:sectPr w:rsidR="00087612" w:rsidRPr="000C7B5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9FBCF" w14:textId="77777777" w:rsidR="0079317D" w:rsidRDefault="0079317D">
      <w:r>
        <w:separator/>
      </w:r>
    </w:p>
  </w:endnote>
  <w:endnote w:type="continuationSeparator" w:id="0">
    <w:p w14:paraId="618EB555" w14:textId="77777777" w:rsidR="0079317D" w:rsidRDefault="00793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B2633" w14:textId="77777777" w:rsidR="00087612" w:rsidRDefault="0079317D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C7B5B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F4E64" w14:textId="77777777" w:rsidR="0079317D" w:rsidRDefault="0079317D">
      <w:r>
        <w:separator/>
      </w:r>
    </w:p>
  </w:footnote>
  <w:footnote w:type="continuationSeparator" w:id="0">
    <w:p w14:paraId="51324DD5" w14:textId="77777777" w:rsidR="0079317D" w:rsidRDefault="00793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212AA" w14:textId="4C064596" w:rsidR="00087612" w:rsidRDefault="0008761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1C5"/>
    <w:multiLevelType w:val="hybridMultilevel"/>
    <w:tmpl w:val="8EE468F6"/>
    <w:lvl w:ilvl="0" w:tplc="19E0EC4C">
      <w:start w:val="1"/>
      <w:numFmt w:val="bullet"/>
      <w:lvlText w:val="●"/>
      <w:lvlJc w:val="left"/>
      <w:pPr>
        <w:ind w:left="720" w:hanging="360"/>
      </w:pPr>
    </w:lvl>
    <w:lvl w:ilvl="1" w:tplc="DC707624">
      <w:start w:val="1"/>
      <w:numFmt w:val="bullet"/>
      <w:lvlText w:val="○"/>
      <w:lvlJc w:val="left"/>
      <w:pPr>
        <w:ind w:left="1440" w:hanging="360"/>
      </w:pPr>
    </w:lvl>
    <w:lvl w:ilvl="2" w:tplc="D466CE88">
      <w:start w:val="1"/>
      <w:numFmt w:val="bullet"/>
      <w:lvlText w:val="■"/>
      <w:lvlJc w:val="left"/>
      <w:pPr>
        <w:ind w:left="2160" w:hanging="360"/>
      </w:pPr>
    </w:lvl>
    <w:lvl w:ilvl="3" w:tplc="EF9A8918">
      <w:start w:val="1"/>
      <w:numFmt w:val="bullet"/>
      <w:lvlText w:val="●"/>
      <w:lvlJc w:val="left"/>
      <w:pPr>
        <w:ind w:left="2880" w:hanging="360"/>
      </w:pPr>
    </w:lvl>
    <w:lvl w:ilvl="4" w:tplc="ECAC034C">
      <w:start w:val="1"/>
      <w:numFmt w:val="bullet"/>
      <w:lvlText w:val="○"/>
      <w:lvlJc w:val="left"/>
      <w:pPr>
        <w:ind w:left="3600" w:hanging="360"/>
      </w:pPr>
    </w:lvl>
    <w:lvl w:ilvl="5" w:tplc="BF1642D2">
      <w:start w:val="1"/>
      <w:numFmt w:val="bullet"/>
      <w:lvlText w:val="■"/>
      <w:lvlJc w:val="left"/>
      <w:pPr>
        <w:ind w:left="4320" w:hanging="360"/>
      </w:pPr>
    </w:lvl>
    <w:lvl w:ilvl="6" w:tplc="02609F1E">
      <w:start w:val="1"/>
      <w:numFmt w:val="bullet"/>
      <w:lvlText w:val="●"/>
      <w:lvlJc w:val="left"/>
      <w:pPr>
        <w:ind w:left="5040" w:hanging="360"/>
      </w:pPr>
    </w:lvl>
    <w:lvl w:ilvl="7" w:tplc="C58C3A40">
      <w:start w:val="1"/>
      <w:numFmt w:val="bullet"/>
      <w:lvlText w:val="●"/>
      <w:lvlJc w:val="left"/>
      <w:pPr>
        <w:ind w:left="5760" w:hanging="360"/>
      </w:pPr>
    </w:lvl>
    <w:lvl w:ilvl="8" w:tplc="0D2A51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670AF"/>
    <w:multiLevelType w:val="hybridMultilevel"/>
    <w:tmpl w:val="55A87B16"/>
    <w:lvl w:ilvl="0" w:tplc="62665A90">
      <w:start w:val="1"/>
      <w:numFmt w:val="bullet"/>
      <w:lvlText w:val="•"/>
      <w:lvlJc w:val="left"/>
      <w:pPr>
        <w:ind w:left="720" w:hanging="360"/>
      </w:pPr>
    </w:lvl>
    <w:lvl w:ilvl="1" w:tplc="C9E4DFAE">
      <w:numFmt w:val="decimal"/>
      <w:lvlText w:val=""/>
      <w:lvlJc w:val="left"/>
    </w:lvl>
    <w:lvl w:ilvl="2" w:tplc="C37ACA1C">
      <w:numFmt w:val="decimal"/>
      <w:lvlText w:val=""/>
      <w:lvlJc w:val="left"/>
    </w:lvl>
    <w:lvl w:ilvl="3" w:tplc="3DE01A62">
      <w:numFmt w:val="decimal"/>
      <w:lvlText w:val=""/>
      <w:lvlJc w:val="left"/>
    </w:lvl>
    <w:lvl w:ilvl="4" w:tplc="90A8F3C8">
      <w:numFmt w:val="decimal"/>
      <w:lvlText w:val=""/>
      <w:lvlJc w:val="left"/>
    </w:lvl>
    <w:lvl w:ilvl="5" w:tplc="C496692E">
      <w:numFmt w:val="decimal"/>
      <w:lvlText w:val=""/>
      <w:lvlJc w:val="left"/>
    </w:lvl>
    <w:lvl w:ilvl="6" w:tplc="63565902">
      <w:numFmt w:val="decimal"/>
      <w:lvlText w:val=""/>
      <w:lvlJc w:val="left"/>
    </w:lvl>
    <w:lvl w:ilvl="7" w:tplc="FE602CB6">
      <w:numFmt w:val="decimal"/>
      <w:lvlText w:val=""/>
      <w:lvlJc w:val="left"/>
    </w:lvl>
    <w:lvl w:ilvl="8" w:tplc="85E40A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612"/>
    <w:rsid w:val="00087612"/>
    <w:rsid w:val="000C7B5B"/>
    <w:rsid w:val="0079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64777"/>
  <w15:docId w15:val="{433F009A-7C82-4DEB-9EAF-89AC4657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5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7B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B5B"/>
  </w:style>
  <w:style w:type="paragraph" w:styleId="Footer">
    <w:name w:val="footer"/>
    <w:basedOn w:val="Normal"/>
    <w:link w:val="FooterChar"/>
    <w:uiPriority w:val="99"/>
    <w:unhideWhenUsed/>
    <w:rsid w:val="000C7B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Yvvone</cp:lastModifiedBy>
  <cp:revision>2</cp:revision>
  <dcterms:created xsi:type="dcterms:W3CDTF">2026-06-30T11:12:00Z</dcterms:created>
  <dcterms:modified xsi:type="dcterms:W3CDTF">2026-07-01T09:42:00Z</dcterms:modified>
</cp:coreProperties>
</file>